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28636d8k.htm"/>
      <w:bookmarkStart w:id="1" w:name="ksd32863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CLIMB 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83-2273741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 William Street, Suite 145</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Wellesley Hills,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02481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(866) 857-2596</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80" w:type="dxa"/>
        <w:jc w:val="left"/>
        <w:tblInd w:w="0" w:type="dxa"/>
        <w:tblLayout w:type="fixed"/>
        <w:tblCellMar>
          <w:top w:w="0" w:type="dxa"/>
          <w:left w:w="0" w:type="dxa"/>
          <w:bottom w:w="0" w:type="dxa"/>
          <w:right w:w="0" w:type="dxa"/>
        </w:tblCellMar>
      </w:tblPr>
      <w:tblGrid>
        <w:gridCol w:w="4265"/>
        <w:gridCol w:w="60"/>
        <w:gridCol w:w="740"/>
        <w:gridCol w:w="60"/>
        <w:gridCol w:w="255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CLYM</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13, 2026, Beijing Mabworks Biotech Co., Ltd. announced the dosing of the first patient with immunoglobulin A nephropathy in a Phase 2 clinical trial in China, which is being conducted in collaboration with Climb Bio, Inc.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2195"/>
        <w:gridCol w:w="60"/>
        <w:gridCol w:w="60"/>
        <w:gridCol w:w="60"/>
        <w:gridCol w:w="365"/>
        <w:gridCol w:w="60"/>
        <w:gridCol w:w="387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Climb Bio,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93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14,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Aoife Brennan</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center"/>
              <w:rPr>
                <w:b/>
              </w:rPr>
            </w:pPr>
            <w:r>
              <w:rPr>
                <w:b/>
              </w:rPr>
              <w:t>Aoife Brennan, M.B., Ch.B.</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center"/>
              <w:rPr>
                <w:b/>
              </w:rPr>
            </w:pPr>
            <w:r>
              <w:rPr>
                <w:b/>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404</Words>
  <Characters>2195</Characters>
  <CharactersWithSpaces>2598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