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Climb Bio,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CLYM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6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50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7"/>
                <w:szCs w:val="17"/>
                <w:color w:val="0000FF"/>
              </w:rPr>
              <w:t>06/29/2026</w:t>
            </w:r>
          </w:p>
        </w:tc>
        <w:tc>
          <w:tcPr>
            <w:tcW w:w="2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25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6" w:lineRule="exact"/>
        <w:rPr>
          <w:sz w:val="20"/>
          <w:szCs w:val="20"/>
          <w:color w:val="auto"/>
        </w:rPr>
      </w:pPr>
    </w:p>
    <w:p>
      <w:pPr>
        <w:sectPr>
          <w:pgSz w:w="11900" w:h="16838" w:orient="portrait"/>
          <w:cols w:equalWidth="0" w:num="2">
            <w:col w:w="7680" w:space="55"/>
            <w:col w:w="3345"/>
          </w:cols>
          <w:pgMar w:left="460" w:top="216" w:right="359" w:bottom="0" w:gutter="0" w:footer="0" w:header="0"/>
          <w:type w:val="continuous"/>
        </w:sectPr>
      </w:pPr>
    </w:p>
    <w:p>
      <w:pPr>
        <w:spacing w:after="0" w:line="191"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0"/>
          <w:szCs w:val="20"/>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13.36</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06/29/2026</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70,284</w:t>
            </w:r>
          </w:p>
        </w:tc>
        <w:tc>
          <w:tcPr>
            <w:tcW w:w="300" w:type="dxa"/>
            <w:vAlign w:val="bottom"/>
          </w:tcPr>
          <w:p>
            <w:pPr>
              <w:spacing w:after="0"/>
              <w:rPr>
                <w:sz w:val="14"/>
                <w:szCs w:val="1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70,284</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70,284</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3"/>
          </w:tcPr>
          <w:p>
            <w:pPr>
              <w:ind w:left="60"/>
              <w:spacing w:after="0" w:line="114"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tcPr>
          <w:p>
            <w:pPr>
              <w:ind w:left="160"/>
              <w:spacing w:after="0" w:line="11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00" w:type="dxa"/>
            <w:vAlign w:val="bottom"/>
          </w:tcPr>
          <w:p>
            <w:pPr>
              <w:ind w:left="80"/>
              <w:spacing w:after="0" w:line="114" w:lineRule="exact"/>
              <w:rPr>
                <w:sz w:val="20"/>
                <w:szCs w:val="20"/>
                <w:color w:val="auto"/>
              </w:rPr>
            </w:pPr>
            <w:r>
              <w:rPr>
                <w:rFonts w:ascii="Times New Roman" w:cs="Times New Roman" w:eastAsia="Times New Roman" w:hAnsi="Times New Roman"/>
                <w:sz w:val="9"/>
                <w:szCs w:val="9"/>
                <w:color w:val="0000FF"/>
              </w:rPr>
              <w:t>Footnotes</w:t>
            </w:r>
            <w:r>
              <w:rPr>
                <w:rFonts w:ascii="Times New Roman" w:cs="Times New Roman" w:eastAsia="Times New Roman" w:hAnsi="Times New Roman"/>
                <w:sz w:val="13"/>
                <w:szCs w:val="13"/>
                <w:color w:val="008000"/>
                <w:vertAlign w:val="superscript"/>
              </w:rPr>
              <w:t>(2)(3)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6"/>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RA CAPITAL MANAGEMENT,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8"/>
          </w:tcPr>
          <w:p>
            <w:pPr>
              <w:ind w:left="20"/>
              <w:spacing w:after="0" w:line="216"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RA Capital Healthcare Fund LP</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0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02116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80" w:type="dxa"/>
            <w:vAlign w:val="bottom"/>
            <w:tcBorders>
              <w:bottom w:val="single" w:sz="8" w:color="2C2C2C"/>
            </w:tcBorders>
            <w:gridSpan w:val="3"/>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tcPr>
          <w:p>
            <w:pPr>
              <w:ind w:left="20"/>
              <w:spacing w:after="0" w:line="216"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RA Capital Nexus Fund, L.P.</w:t>
              </w:r>
            </w:hyperlink>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4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11080"/>
          </w:cols>
          <w:pgMar w:left="460" w:top="216" w:right="359" w:bottom="0" w:gutter="0" w:footer="0" w:header="0"/>
          <w:type w:val="continuous"/>
        </w:sectPr>
      </w:pPr>
    </w:p>
    <w:p>
      <w:pPr>
        <w:ind w:left="120"/>
        <w:spacing w:after="0"/>
        <w:rPr>
          <w:sz w:val="20"/>
          <w:szCs w:val="20"/>
          <w:color w:val="auto"/>
        </w:rPr>
      </w:pPr>
      <w:r>
        <w:rPr>
          <w:rFonts w:ascii="Times New Roman" w:cs="Times New Roman" w:eastAsia="Times New Roman" w:hAnsi="Times New Roman"/>
          <w:sz w:val="16"/>
          <w:szCs w:val="16"/>
          <w:color w:val="0000FF"/>
        </w:rPr>
        <w:t>200 BERKELEY STREET, 18TH FLOOR</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4"/>
          </w:tcPr>
          <w:p>
            <w:pPr>
              <w:ind w:left="38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4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RA Capital Nexus Fund II,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4"/>
          </w:tcPr>
          <w:p>
            <w:pPr>
              <w:ind w:left="38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428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4"/>
          </w:tcPr>
          <w:p>
            <w:pPr>
              <w:ind w:left="38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4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RA Capital Nexus Fund III,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4"/>
          </w:tcPr>
          <w:p>
            <w:pPr>
              <w:ind w:left="38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4"/>
        </w:trPr>
        <w:tc>
          <w:tcPr>
            <w:tcW w:w="80" w:type="dxa"/>
            <w:vAlign w:val="bottom"/>
          </w:tcPr>
          <w:p>
            <w:pPr>
              <w:spacing w:after="0"/>
              <w:rPr>
                <w:sz w:val="22"/>
                <w:szCs w:val="22"/>
                <w:color w:val="auto"/>
              </w:rPr>
            </w:pPr>
          </w:p>
        </w:tc>
        <w:tc>
          <w:tcPr>
            <w:tcW w:w="428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0000FF"/>
              </w:rPr>
              <w:t>200 BERKELEY STREET, 18TH FLOOR</w:t>
            </w:r>
          </w:p>
        </w:tc>
      </w:tr>
      <w:tr>
        <w:trPr>
          <w:trHeight w:val="197"/>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11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700" w:type="dxa"/>
            <w:vAlign w:val="bottom"/>
            <w:gridSpan w:val="4"/>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700" w:type="dxa"/>
            <w:vAlign w:val="bottom"/>
            <w:gridSpan w:val="4"/>
          </w:tcPr>
          <w:p>
            <w:pPr>
              <w:ind w:left="38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0"/>
        </w:trPr>
        <w:tc>
          <w:tcPr>
            <w:tcW w:w="100" w:type="dxa"/>
            <w:vAlign w:val="bottom"/>
            <w:tcBorders>
              <w:bottom w:val="single" w:sz="8" w:color="2C2C2C"/>
            </w:tcBorders>
            <w:gridSpan w:val="2"/>
          </w:tcPr>
          <w:p>
            <w:pPr>
              <w:spacing w:after="0"/>
              <w:rPr>
                <w:sz w:val="6"/>
                <w:szCs w:val="6"/>
                <w:color w:val="auto"/>
              </w:rPr>
            </w:pPr>
          </w:p>
        </w:tc>
        <w:tc>
          <w:tcPr>
            <w:tcW w:w="140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40" w:type="dxa"/>
            <w:vAlign w:val="bottom"/>
            <w:gridSpan w:val="6"/>
          </w:tcPr>
          <w:p>
            <w:pPr>
              <w:ind w:left="20"/>
              <w:spacing w:after="0" w:line="216"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Kolchinsky Peter</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700" w:type="dxa"/>
            <w:vAlign w:val="bottom"/>
            <w:gridSpan w:val="4"/>
          </w:tcPr>
          <w:p>
            <w:pPr>
              <w:ind w:left="38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-4353560</wp:posOffset>
            </wp:positionV>
            <wp:extent cx="2811780" cy="7168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1780" cy="7168515"/>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6"/>
        </w:trPr>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19"/>
                <w:szCs w:val="19"/>
                <w:color w:val="auto"/>
              </w:rPr>
            </w:pPr>
          </w:p>
        </w:tc>
      </w:tr>
      <w:tr>
        <w:trPr>
          <w:trHeight w:val="146"/>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6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gridSpan w:val="2"/>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42"/>
        </w:trPr>
        <w:tc>
          <w:tcPr>
            <w:tcW w:w="27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1360" w:type="dxa"/>
            <w:vAlign w:val="bottom"/>
            <w:gridSpan w:val="3"/>
          </w:tcPr>
          <w:p>
            <w:pPr>
              <w:ind w:left="20"/>
              <w:spacing w:after="0" w:line="216" w:lineRule="exact"/>
              <w:rPr>
                <w:rFonts w:ascii="Times New Roman" w:cs="Times New Roman" w:eastAsia="Times New Roman" w:hAnsi="Times New Roman"/>
                <w:sz w:val="20"/>
                <w:szCs w:val="20"/>
                <w:color w:val="0000EE"/>
              </w:rPr>
            </w:pPr>
            <w:hyperlink r:id="rId22">
              <w:r>
                <w:rPr>
                  <w:rFonts w:ascii="Times New Roman" w:cs="Times New Roman" w:eastAsia="Times New Roman" w:hAnsi="Times New Roman"/>
                  <w:sz w:val="20"/>
                  <w:szCs w:val="20"/>
                  <w:color w:val="0000EE"/>
                </w:rPr>
                <w:t>Shah Rajeev M.</w:t>
              </w:r>
            </w:hyperlink>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4"/>
        </w:trPr>
        <w:tc>
          <w:tcPr>
            <w:tcW w:w="80" w:type="dxa"/>
            <w:vAlign w:val="bottom"/>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RA CAPITAL MANAGEMENT, L.P.</w:t>
      </w:r>
    </w:p>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BERKELEY STREET, 18TH FLOOR</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MA</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02116</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20" w:right="34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vest in equal monthly installments from June 29, 2026 (the "Vesting Commencement Date") until the third anniversary of the Vesting Commencement Date, subject to Ms. Celebi's continued service through such date.</w:t>
      </w:r>
    </w:p>
    <w:p>
      <w:pPr>
        <w:spacing w:after="0" w:line="19" w:lineRule="exact"/>
        <w:rPr>
          <w:rFonts w:ascii="Times New Roman" w:cs="Times New Roman" w:eastAsia="Times New Roman" w:hAnsi="Times New Roman"/>
          <w:sz w:val="13"/>
          <w:szCs w:val="13"/>
          <w:color w:val="008000"/>
        </w:rPr>
      </w:pPr>
    </w:p>
    <w:p>
      <w:pPr>
        <w:ind w:left="20" w:right="200"/>
        <w:spacing w:after="0" w:line="234"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RA Capital Management, L.P. (the "Adviser") is the investment manager for RA Capital Healthcare Fund, L.P. (the "Fund"), RA Capital Nexus Fund, L.P. (the "Nexus Fund"), RA Capital Nexus Fund II, L.P. (the "Nexus Fund II"), RA Capital Nexus Fund III, L.P. (the "Nexus Fund III"), and a separately managed account (the "Account"). The general partner of the Adviser is RA Capital Management GP, LLC (the "Adviser GP"), of which Dr. Peter Kolchinsky and Mr. Rajeev Shah are the managing members. Each of the Adviser, the Adviser GP, the Fund, the Nexus Fund, the Nexus Fund II, the Nexus Fund III, Dr. Kolchinsky and Mr. Shah disclaims beneficial ownership of any of the reported securities, except to the extent of its or his respective pecuniary interest therein.</w:t>
      </w:r>
    </w:p>
    <w:p>
      <w:pPr>
        <w:spacing w:after="0" w:line="27" w:lineRule="exact"/>
        <w:rPr>
          <w:rFonts w:ascii="Times New Roman" w:cs="Times New Roman" w:eastAsia="Times New Roman" w:hAnsi="Times New Roman"/>
          <w:sz w:val="13"/>
          <w:szCs w:val="13"/>
          <w:color w:val="008000"/>
        </w:rPr>
      </w:pPr>
    </w:p>
    <w:p>
      <w:pPr>
        <w:ind w:left="20"/>
        <w:spacing w:after="0" w:line="238"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Under Ms. Celebi's arrangement with the Adviser, Ms. Celebi holds the option for the benefit of the Fund, the Nexus Fund, the Nexus Fund II, the Nexus Fund III, and the Account. Ms. Celebi is obligated to turn over to the Adviser any net cash or stock received upon exercise of the option, which will offset advisory fees owed by the Fund, the Nexus Fund, the Nexus Fund II, the Nexus Fund III, and the Account to the Adviser. The Reporting Persons therefore disclaim beneficial ownership of the option and underlying common stock.</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Breanna Celebi, an Analyst of the Adviser, serves on the Issuer's board of directors.</w:t>
      </w:r>
    </w:p>
    <w:p>
      <w:pPr>
        <w:sectPr>
          <w:pgSz w:w="11900" w:h="16838" w:orient="portrait"/>
          <w:cols w:equalWidth="0" w:num="1">
            <w:col w:w="10900"/>
          </w:cols>
          <w:pgMar w:left="480" w:top="128" w:right="519" w:bottom="0" w:gutter="0" w:footer="0" w:header="0"/>
        </w:sectPr>
      </w:pPr>
    </w:p>
    <w:p>
      <w:pPr>
        <w:spacing w:after="0" w:line="6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189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89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11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 Capital Healthcare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24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63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of RA Capital Nexus Fund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00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LLC, the General Partner of 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-10795</wp:posOffset>
            </wp:positionV>
            <wp:extent cx="1352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Nexus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0560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056005" cy="8255"/>
                    </a:xfrm>
                    <a:prstGeom prst="rect">
                      <a:avLst/>
                    </a:prstGeom>
                    <a:noFill/>
                  </pic:spPr>
                </pic:pic>
              </a:graphicData>
            </a:graphic>
          </wp:anchor>
        </w:drawing>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-10160</wp:posOffset>
            </wp:positionV>
            <wp:extent cx="12700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of RA Capital Nexus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-17780</wp:posOffset>
            </wp:positionV>
            <wp:extent cx="12217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ectPr>
          <w:pgSz w:w="11900" w:h="16838" w:orient="portrait"/>
          <w:cols w:equalWidth="0" w:num="2">
            <w:col w:w="8700" w:space="80"/>
            <w:col w:w="2120"/>
          </w:cols>
          <w:pgMar w:left="480" w:top="128" w:right="519" w:bottom="0" w:gutter="0" w:footer="0" w:header="0"/>
          <w:type w:val="continuous"/>
        </w:sectPr>
      </w:pPr>
    </w:p>
    <w:bookmarkStart w:id="2" w:name="page3"/>
    <w:bookmarkEnd w:id="2"/>
    <w:p>
      <w:pPr>
        <w:ind w:left="656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35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RA Capital Nexus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-10795</wp:posOffset>
            </wp:positionV>
            <wp:extent cx="13239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3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700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of RA Capital Nexus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2566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GP, 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-10795</wp:posOffset>
            </wp:positionV>
            <wp:extent cx="135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6"/>
          <w:szCs w:val="16"/>
          <w:color w:val="0000FF"/>
        </w:rPr>
        <w:t>RA Capital Nexus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-10795</wp:posOffset>
            </wp:positionV>
            <wp:extent cx="1358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spacing w:after="0" w:line="3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8705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8705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507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Rajeev Shah,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2128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8700" w:space="60"/>
            <w:col w:w="1199"/>
          </w:cols>
          <w:pgMar w:left="500" w:top="127" w:right="1440" w:bottom="1440" w:gutter="0" w:footer="0" w:header="0"/>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21"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13" Type="http://schemas.openxmlformats.org/officeDocument/2006/relationships/hyperlink" Target="http://www.sec.gov/cgi-bin/browse-edgar?action=getcompany&amp;CIK=0001346824" TargetMode="External"/><Relationship Id="rId14" Type="http://schemas.openxmlformats.org/officeDocument/2006/relationships/hyperlink" Target="http://www.sec.gov/cgi-bin/browse-edgar?action=getcompany&amp;CIK=0001768446" TargetMode="External"/><Relationship Id="rId16" Type="http://schemas.openxmlformats.org/officeDocument/2006/relationships/hyperlink" Target="http://www.sec.gov/cgi-bin/browse-edgar?action=getcompany&amp;CIK=0001315082" TargetMode="External"/><Relationship Id="rId17" Type="http://schemas.openxmlformats.org/officeDocument/2006/relationships/hyperlink" Target="http://www.sec.gov/cgi-bin/browse-edgar?action=getcompany&amp;CIK=0001780117" TargetMode="External"/><Relationship Id="rId18" Type="http://schemas.openxmlformats.org/officeDocument/2006/relationships/hyperlink" Target="http://www.sec.gov/cgi-bin/browse-edgar?action=getcompany&amp;CIK=0001825376" TargetMode="External"/><Relationship Id="rId19" Type="http://schemas.openxmlformats.org/officeDocument/2006/relationships/hyperlink" Target="http://www.sec.gov/cgi-bin/browse-edgar?action=getcompany&amp;CIK=0001883840" TargetMode="External"/><Relationship Id="rId20" Type="http://schemas.openxmlformats.org/officeDocument/2006/relationships/hyperlink" Target="http://www.sec.gov/cgi-bin/browse-edgar?action=getcompany&amp;CIK=0001384859" TargetMode="External"/><Relationship Id="rId22" Type="http://schemas.openxmlformats.org/officeDocument/2006/relationships/hyperlink" Target="http://www.sec.gov/cgi-bin/browse-edgar?action=getcompany&amp;CIK=00016198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2026-07-01T16:46:58Z</dcterms:created>
  <dcterms:modified xsi:type="dcterms:W3CDTF">2026-07-01T16:46:58Z</dcterms:modified>
</cp:coreProperties>
</file>