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Celebi Breanna Maurine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CLIMB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WILLIAM STREET, SUITE 145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WELLESLEY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Climb Bio, Inc.</w:t>
              </w:r>
            </w:hyperlink>
            <w:r>
              <w:rPr/>
              <w:t xml:space="preserve"> [ </w:t>
            </w:r>
            <w:r>
              <w:rPr>
                <w:rFonts w:ascii="Times;serif" w:hAnsi="Times;serif"/>
                <w:color w:val="0000FF"/>
                <w:sz w:val="24"/>
                <w:shd w:fill="FFFFFF" w:val="clear"/>
              </w:rPr>
              <w:t>CLYM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70,284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70,284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vest in equal monthly installments from June 29, 2026 (the "Vesting Commencement Date") until the third anniversary of the Vesting Commencement Date, subject to the Reporting Person's continued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Under the Reporting Person's arrangement with RA Capital Management, L.P. (the "Adviser"), the Reporting Person holds the stock option for the benefit of the RA Capital Healthcare Fund, L.P. (the "Fund"), RA Capital Nexus Fund, L.P. (the "Nexus Fund"), RA Capital Nexus Fund II, L.P. (the "Nexus Fund II"), RA Capital Nexus Fund III, L.P. (the "Nexus Fund III"), and a separately managed account (the "Account"). The Reporting Person is obligated to turn over to the Adviser any net cash or stock received upon exercise of the stock option, which will offset advisory fees owed by the Fund, the Nexus Fund, the Nexus Fund II, the Nexus Fund III, and the Account to the Adviser. The Reporting Person therefore disclaims beneficial ownership of the stock option and underlying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Chandra Adams,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7903" TargetMode="External"/><Relationship Id="rId5" Type="http://schemas.openxmlformats.org/officeDocument/2006/relationships/hyperlink" Target="http://www.sec.gov/cgi-bin/browse-edgar?action=getcompany&amp;CIK=000176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3984</Characters>
  <CharactersWithSpaces>4662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