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333-283166</w:t>
      </w:r>
    </w:p>
    <w:p>
      <w:pPr>
        <w:ind w:left="120"/>
        <w:spacing w:after="0" w:line="234" w:lineRule="auto"/>
        <w:rPr>
          <w:sz w:val="20"/>
          <w:szCs w:val="20"/>
          <w:color w:val="auto"/>
        </w:rPr>
      </w:pPr>
      <w:r>
        <w:rPr>
          <w:rFonts w:ascii="Arial" w:cs="Arial" w:eastAsia="Arial" w:hAnsi="Arial"/>
          <w:sz w:val="18"/>
          <w:szCs w:val="18"/>
          <w:b w:val="1"/>
          <w:bCs w:val="1"/>
          <w:color w:val="auto"/>
        </w:rPr>
        <w:t>PROSPECTUS SUPPLEMENT</w:t>
      </w:r>
    </w:p>
    <w:p>
      <w:pPr>
        <w:spacing w:after="0" w:line="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 Prospectus dated November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151765</wp:posOffset>
            </wp:positionV>
            <wp:extent cx="228854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Up to $100,000,000</w:t>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235" w:lineRule="exact"/>
        <w:rPr>
          <w:sz w:val="24"/>
          <w:szCs w:val="24"/>
          <w:color w:val="auto"/>
        </w:rPr>
      </w:pPr>
    </w:p>
    <w:p>
      <w:pPr>
        <w:ind w:left="120" w:right="200"/>
        <w:spacing w:after="0" w:line="223"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or the Sales Agreement, with Jefferies LLC, or Jefferies, dated as of June 12, 2026, relating to the sale of shares of our common stock, par value $0.0001 per share, offered by this prospectus supplement and the accompanying prospectus. In accordance with the terms of the Sales Agreement, under this prospectus supplement and the accompanying prospectus, we may offer and sell shares of our common stock, having an aggregate offering price of up to $100,000,000 from time to time on or after the date of this prospectus supplement through Jefferies, acting as sales agent.</w:t>
      </w:r>
    </w:p>
    <w:p>
      <w:pPr>
        <w:spacing w:after="0" w:line="181" w:lineRule="exact"/>
        <w:rPr>
          <w:sz w:val="24"/>
          <w:szCs w:val="24"/>
          <w:color w:val="auto"/>
        </w:rPr>
      </w:pPr>
    </w:p>
    <w:p>
      <w:pPr>
        <w:ind w:left="120" w:right="140"/>
        <w:spacing w:after="0" w:line="271" w:lineRule="auto"/>
        <w:rPr>
          <w:sz w:val="20"/>
          <w:szCs w:val="20"/>
          <w:color w:val="auto"/>
        </w:rPr>
      </w:pPr>
      <w:r>
        <w:rPr>
          <w:rFonts w:ascii="Arial" w:cs="Arial" w:eastAsia="Arial" w:hAnsi="Arial"/>
          <w:sz w:val="18"/>
          <w:szCs w:val="18"/>
          <w:color w:val="auto"/>
        </w:rPr>
        <w:t>Our common stock is listed on the Nasdaq Global Market under the symbol “CLYM.” The last reported sale price of our common stock on June 11, 2026 was $10.91 per share.</w:t>
      </w:r>
    </w:p>
    <w:p>
      <w:pPr>
        <w:spacing w:after="0" w:line="154" w:lineRule="exact"/>
        <w:rPr>
          <w:sz w:val="24"/>
          <w:szCs w:val="24"/>
          <w:color w:val="auto"/>
        </w:rPr>
      </w:pPr>
    </w:p>
    <w:p>
      <w:pPr>
        <w:ind w:left="120" w:right="40"/>
        <w:spacing w:after="0" w:line="242" w:lineRule="auto"/>
        <w:rPr>
          <w:sz w:val="20"/>
          <w:szCs w:val="20"/>
          <w:color w:val="auto"/>
        </w:rPr>
      </w:pPr>
      <w:r>
        <w:rPr>
          <w:rFonts w:ascii="Arial" w:cs="Arial" w:eastAsia="Arial" w:hAnsi="Arial"/>
          <w:sz w:val="18"/>
          <w:szCs w:val="18"/>
          <w:color w:val="auto"/>
        </w:rPr>
        <w:t>Sales of our common stock, if any, under this prospectus supplement and the accompanying prospectus may be made in sales deemed to be an “at the market offering” as defined in Rule 415(a)(4) promulgated under the Securities Act of 1933, as amended, or the Securities Act, including sales made in ordinary brokers’ transactions on the Nasdaq Global Market or otherwise at market prices prevailing at the time of sale. Jefferies is not required to sell any specific number or dollar amount of securities but will act as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79" w:lineRule="exact"/>
        <w:rPr>
          <w:sz w:val="24"/>
          <w:szCs w:val="24"/>
          <w:color w:val="auto"/>
        </w:rPr>
      </w:pPr>
    </w:p>
    <w:p>
      <w:pPr>
        <w:ind w:left="120" w:right="120"/>
        <w:spacing w:after="0"/>
        <w:rPr>
          <w:sz w:val="20"/>
          <w:szCs w:val="20"/>
          <w:color w:val="auto"/>
        </w:rPr>
      </w:pPr>
      <w:r>
        <w:rPr>
          <w:rFonts w:ascii="Arial" w:cs="Arial" w:eastAsia="Arial" w:hAnsi="Arial"/>
          <w:sz w:val="18"/>
          <w:szCs w:val="18"/>
          <w:color w:val="auto"/>
        </w:rPr>
        <w:t>The compensation to Jefferies for sales of common stock sold pursuant to the Sales Agreement will be an amount equal to up to 3.0% of the gross sales price per share of common stock sold under the Sales Agreement. See “Plan of Distribution” for additional information regarding the compensation to be paid to Jefferies. The net proceeds from any sales under this prospectus supplement will be used as described under “Use of Proceeds.” The proceeds we receive from sales of our common stock, if any, will depend on the number of shares actually sold and the offering price of such shares.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Exchange Act of 1934, as amended, or the Exchange Act.</w:t>
      </w:r>
    </w:p>
    <w:p>
      <w:pPr>
        <w:spacing w:after="0" w:line="180" w:lineRule="exact"/>
        <w:rPr>
          <w:sz w:val="24"/>
          <w:szCs w:val="24"/>
          <w:color w:val="auto"/>
        </w:rPr>
      </w:pPr>
    </w:p>
    <w:p>
      <w:pPr>
        <w:ind w:left="120" w:right="200"/>
        <w:spacing w:after="0" w:line="247"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or the JOBS Act. We are also a smaller reporting company as defined under Rule 12b-2 promulgated under the Exchange Act and, as such, are subject to certain reduced public company reporting requirements. See “Prospectus Supplement Summary—Implications of Being an Emerging Growth Company and a Smaller Reporting Company.”</w:t>
      </w:r>
    </w:p>
    <w:p>
      <w:pPr>
        <w:spacing w:after="0" w:line="174" w:lineRule="exact"/>
        <w:rPr>
          <w:sz w:val="24"/>
          <w:szCs w:val="24"/>
          <w:color w:val="auto"/>
        </w:rPr>
      </w:pPr>
    </w:p>
    <w:p>
      <w:pPr>
        <w:ind w:left="120" w:right="180"/>
        <w:spacing w:after="0" w:line="257" w:lineRule="auto"/>
        <w:rPr>
          <w:sz w:val="20"/>
          <w:szCs w:val="20"/>
          <w:color w:val="auto"/>
        </w:rPr>
      </w:pPr>
      <w:r>
        <w:rPr>
          <w:rFonts w:ascii="Arial" w:cs="Arial" w:eastAsia="Arial" w:hAnsi="Arial"/>
          <w:sz w:val="18"/>
          <w:szCs w:val="18"/>
          <w:b w:val="1"/>
          <w:bCs w:val="1"/>
          <w:color w:val="auto"/>
        </w:rPr>
        <w:t>Investing in our common stock involves significant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S-8 of this prospectus supplement and in the documents incorporated by reference in this prospectus supplement for a discussion of the factors you should carefully consider before deciding to purchase our common stock.</w:t>
      </w:r>
    </w:p>
    <w:p>
      <w:pPr>
        <w:spacing w:after="0" w:line="159" w:lineRule="exact"/>
        <w:rPr>
          <w:sz w:val="24"/>
          <w:szCs w:val="24"/>
          <w:color w:val="auto"/>
        </w:rPr>
      </w:pPr>
    </w:p>
    <w:p>
      <w:pPr>
        <w:ind w:left="120" w:right="30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Jefferies</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The date of this prospectus supplement is June 12,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gridSpan w:val="17"/>
            <w:vMerge w:val="restart"/>
          </w:tcPr>
          <w:p>
            <w:pPr>
              <w:spacing w:after="0"/>
              <w:rPr>
                <w:sz w:val="20"/>
                <w:szCs w:val="20"/>
                <w:color w:val="auto"/>
              </w:rPr>
            </w:pPr>
            <w:r>
              <w:rPr>
                <w:rFonts w:ascii="Arial" w:cs="Arial" w:eastAsia="Arial" w:hAnsi="Arial"/>
                <w:sz w:val="17"/>
                <w:szCs w:val="17"/>
                <w:color w:val="0000EE"/>
              </w:rPr>
              <w:t>ABOUT THIS PROSPECTUS SUPPLEMENT</w:t>
            </w:r>
          </w:p>
        </w:tc>
        <w:tc>
          <w:tcPr>
            <w:tcW w:w="7080" w:type="dxa"/>
            <w:vAlign w:val="bottom"/>
            <w:gridSpan w:val="6"/>
            <w:vMerge w:val="restart"/>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60" w:type="dxa"/>
            <w:vAlign w:val="bottom"/>
            <w:tcBorders>
              <w:bottom w:val="single" w:sz="8" w:color="0000EE"/>
            </w:tcBorders>
            <w:gridSpan w:val="17"/>
            <w:vMerge w:val="continue"/>
          </w:tcPr>
          <w:p>
            <w:pPr>
              <w:spacing w:after="0"/>
              <w:rPr>
                <w:sz w:val="13"/>
                <w:szCs w:val="13"/>
                <w:color w:val="auto"/>
              </w:rPr>
            </w:pPr>
          </w:p>
        </w:tc>
        <w:tc>
          <w:tcPr>
            <w:tcW w:w="7080" w:type="dxa"/>
            <w:vAlign w:val="bottom"/>
            <w:gridSpan w:val="6"/>
            <w:vMerge w:val="continue"/>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7"/>
                <w:szCs w:val="17"/>
                <w:color w:val="auto"/>
              </w:rPr>
              <w:t>S-1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540" w:type="dxa"/>
            <w:vAlign w:val="bottom"/>
            <w:gridSpan w:val="23"/>
          </w:tcPr>
          <w:p>
            <w:pPr>
              <w:spacing w:after="0"/>
              <w:rPr>
                <w:sz w:val="20"/>
                <w:szCs w:val="20"/>
                <w:color w:val="auto"/>
              </w:rPr>
            </w:pPr>
            <w:r>
              <w:rPr>
                <w:rFonts w:ascii="Arial" w:cs="Arial" w:eastAsia="Arial" w:hAnsi="Arial"/>
                <w:sz w:val="17"/>
                <w:szCs w:val="17"/>
                <w:color w:val="0000EE"/>
              </w:rPr>
              <w:t>CAUTIONARY NOTE REGARDING FORWARD-LOOKING STATEMENTS AND INDUSTRY DATA</w:t>
            </w: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S-2</w:t>
            </w:r>
          </w:p>
        </w:tc>
        <w:tc>
          <w:tcPr>
            <w:tcW w:w="0" w:type="dxa"/>
            <w:vAlign w:val="bottom"/>
          </w:tcPr>
          <w:p>
            <w:pPr>
              <w:spacing w:after="0"/>
              <w:rPr>
                <w:sz w:val="1"/>
                <w:szCs w:val="1"/>
                <w:color w:val="auto"/>
              </w:rPr>
            </w:pPr>
          </w:p>
        </w:tc>
      </w:tr>
      <w:tr>
        <w:trPr>
          <w:trHeight w:val="385"/>
        </w:trPr>
        <w:tc>
          <w:tcPr>
            <w:tcW w:w="330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7"/>
                <w:szCs w:val="17"/>
                <w:color w:val="0000EE"/>
                <w:w w:val="99"/>
              </w:rPr>
              <w:t>PROSPECTUS SUPPLEMENT SUMMARY</w:t>
            </w:r>
          </w:p>
        </w:tc>
        <w:tc>
          <w:tcPr>
            <w:tcW w:w="4140" w:type="dxa"/>
            <w:vAlign w:val="bottom"/>
            <w:tcBorders>
              <w:top w:val="single" w:sz="8" w:color="0000EE"/>
            </w:tcBorders>
            <w:gridSpan w:val="6"/>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S-4</w:t>
            </w:r>
          </w:p>
        </w:tc>
        <w:tc>
          <w:tcPr>
            <w:tcW w:w="0" w:type="dxa"/>
            <w:vAlign w:val="bottom"/>
          </w:tcPr>
          <w:p>
            <w:pPr>
              <w:spacing w:after="0"/>
              <w:rPr>
                <w:sz w:val="1"/>
                <w:szCs w:val="1"/>
                <w:color w:val="auto"/>
              </w:rPr>
            </w:pPr>
          </w:p>
        </w:tc>
      </w:tr>
      <w:tr>
        <w:trPr>
          <w:trHeight w:val="385"/>
        </w:trPr>
        <w:tc>
          <w:tcPr>
            <w:tcW w:w="10540" w:type="dxa"/>
            <w:vAlign w:val="bottom"/>
            <w:gridSpan w:val="23"/>
          </w:tcPr>
          <w:p>
            <w:pPr>
              <w:spacing w:after="0"/>
              <w:rPr>
                <w:sz w:val="20"/>
                <w:szCs w:val="20"/>
                <w:color w:val="auto"/>
              </w:rPr>
            </w:pPr>
            <w:r>
              <w:rPr>
                <w:rFonts w:ascii="Arial" w:cs="Arial" w:eastAsia="Arial" w:hAnsi="Arial"/>
                <w:sz w:val="17"/>
                <w:szCs w:val="17"/>
                <w:color w:val="0000EE"/>
              </w:rPr>
              <w:t>THE OFFERING</w:t>
            </w: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S-6</w:t>
            </w:r>
          </w:p>
        </w:tc>
        <w:tc>
          <w:tcPr>
            <w:tcW w:w="0" w:type="dxa"/>
            <w:vAlign w:val="bottom"/>
          </w:tcPr>
          <w:p>
            <w:pPr>
              <w:spacing w:after="0"/>
              <w:rPr>
                <w:sz w:val="1"/>
                <w:szCs w:val="1"/>
                <w:color w:val="auto"/>
              </w:rPr>
            </w:pPr>
          </w:p>
        </w:tc>
      </w:tr>
      <w:tr>
        <w:trPr>
          <w:trHeight w:val="385"/>
        </w:trPr>
        <w:tc>
          <w:tcPr>
            <w:tcW w:w="1260" w:type="dxa"/>
            <w:vAlign w:val="bottom"/>
            <w:tcBorders>
              <w:top w:val="single" w:sz="8" w:color="0000EE"/>
            </w:tcBorders>
            <w:gridSpan w:val="4"/>
          </w:tcPr>
          <w:p>
            <w:pPr>
              <w:spacing w:after="0"/>
              <w:rPr>
                <w:sz w:val="20"/>
                <w:szCs w:val="20"/>
                <w:color w:val="auto"/>
              </w:rPr>
            </w:pPr>
            <w:r>
              <w:rPr>
                <w:rFonts w:ascii="Arial" w:cs="Arial" w:eastAsia="Arial" w:hAnsi="Arial"/>
                <w:sz w:val="17"/>
                <w:szCs w:val="17"/>
                <w:color w:val="0000EE"/>
                <w:w w:val="98"/>
              </w:rPr>
              <w:t>RISK FACTORS</w:t>
            </w:r>
          </w:p>
        </w:tc>
        <w:tc>
          <w:tcPr>
            <w:tcW w:w="928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S-8</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USE OF PROCEEDS</w:t>
            </w:r>
          </w:p>
        </w:tc>
        <w:tc>
          <w:tcPr>
            <w:tcW w:w="890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S-10</w:t>
            </w:r>
          </w:p>
        </w:tc>
        <w:tc>
          <w:tcPr>
            <w:tcW w:w="0" w:type="dxa"/>
            <w:vAlign w:val="bottom"/>
          </w:tcPr>
          <w:p>
            <w:pPr>
              <w:spacing w:after="0"/>
              <w:rPr>
                <w:sz w:val="1"/>
                <w:szCs w:val="1"/>
                <w:color w:val="auto"/>
              </w:rPr>
            </w:pPr>
          </w:p>
        </w:tc>
      </w:tr>
      <w:tr>
        <w:trPr>
          <w:trHeight w:val="385"/>
        </w:trPr>
        <w:tc>
          <w:tcPr>
            <w:tcW w:w="82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rPr>
              <w:t>DILUTION</w:t>
            </w:r>
          </w:p>
        </w:tc>
        <w:tc>
          <w:tcPr>
            <w:tcW w:w="9720" w:type="dxa"/>
            <w:vAlign w:val="bottom"/>
            <w:gridSpan w:val="21"/>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S-11</w:t>
            </w:r>
          </w:p>
        </w:tc>
        <w:tc>
          <w:tcPr>
            <w:tcW w:w="0" w:type="dxa"/>
            <w:vAlign w:val="bottom"/>
          </w:tcPr>
          <w:p>
            <w:pPr>
              <w:spacing w:after="0"/>
              <w:rPr>
                <w:sz w:val="1"/>
                <w:szCs w:val="1"/>
                <w:color w:val="auto"/>
              </w:rPr>
            </w:pPr>
          </w:p>
        </w:tc>
      </w:tr>
      <w:tr>
        <w:trPr>
          <w:trHeight w:val="385"/>
        </w:trPr>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rPr>
              <w:t>PLAN OF DISTRIBUTION</w:t>
            </w:r>
          </w:p>
        </w:tc>
        <w:tc>
          <w:tcPr>
            <w:tcW w:w="85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S-13</w:t>
            </w:r>
          </w:p>
        </w:tc>
        <w:tc>
          <w:tcPr>
            <w:tcW w:w="0" w:type="dxa"/>
            <w:vAlign w:val="bottom"/>
          </w:tcPr>
          <w:p>
            <w:pPr>
              <w:spacing w:after="0"/>
              <w:rPr>
                <w:sz w:val="1"/>
                <w:szCs w:val="1"/>
                <w:color w:val="auto"/>
              </w:rPr>
            </w:pPr>
          </w:p>
        </w:tc>
      </w:tr>
      <w:tr>
        <w:trPr>
          <w:trHeight w:val="385"/>
        </w:trPr>
        <w:tc>
          <w:tcPr>
            <w:tcW w:w="140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8"/>
              </w:rPr>
              <w:t>LEGAL MATTERS</w:t>
            </w:r>
          </w:p>
        </w:tc>
        <w:tc>
          <w:tcPr>
            <w:tcW w:w="914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S-15</w:t>
            </w:r>
          </w:p>
        </w:tc>
        <w:tc>
          <w:tcPr>
            <w:tcW w:w="0" w:type="dxa"/>
            <w:vAlign w:val="bottom"/>
          </w:tcPr>
          <w:p>
            <w:pPr>
              <w:spacing w:after="0"/>
              <w:rPr>
                <w:sz w:val="1"/>
                <w:szCs w:val="1"/>
                <w:color w:val="auto"/>
              </w:rPr>
            </w:pPr>
          </w:p>
        </w:tc>
      </w:tr>
      <w:tr>
        <w:trPr>
          <w:trHeight w:val="385"/>
        </w:trPr>
        <w:tc>
          <w:tcPr>
            <w:tcW w:w="8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EXPERTS</w:t>
            </w:r>
          </w:p>
        </w:tc>
        <w:tc>
          <w:tcPr>
            <w:tcW w:w="974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S-15</w:t>
            </w:r>
          </w:p>
        </w:tc>
        <w:tc>
          <w:tcPr>
            <w:tcW w:w="0" w:type="dxa"/>
            <w:vAlign w:val="bottom"/>
          </w:tcPr>
          <w:p>
            <w:pPr>
              <w:spacing w:after="0"/>
              <w:rPr>
                <w:sz w:val="1"/>
                <w:szCs w:val="1"/>
                <w:color w:val="auto"/>
              </w:rPr>
            </w:pPr>
          </w:p>
        </w:tc>
      </w:tr>
      <w:tr>
        <w:trPr>
          <w:trHeight w:val="385"/>
        </w:trPr>
        <w:tc>
          <w:tcPr>
            <w:tcW w:w="370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color w:val="0000EE"/>
                <w:w w:val="99"/>
              </w:rPr>
              <w:t>WHERE YOU CAN FIND MORE INFORMATION</w:t>
            </w:r>
          </w:p>
        </w:tc>
        <w:tc>
          <w:tcPr>
            <w:tcW w:w="68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S-16</w:t>
            </w:r>
          </w:p>
        </w:tc>
        <w:tc>
          <w:tcPr>
            <w:tcW w:w="0" w:type="dxa"/>
            <w:vAlign w:val="bottom"/>
          </w:tcPr>
          <w:p>
            <w:pPr>
              <w:spacing w:after="0"/>
              <w:rPr>
                <w:sz w:val="1"/>
                <w:szCs w:val="1"/>
                <w:color w:val="auto"/>
              </w:rPr>
            </w:pPr>
          </w:p>
        </w:tc>
      </w:tr>
      <w:tr>
        <w:trPr>
          <w:trHeight w:val="385"/>
        </w:trPr>
        <w:tc>
          <w:tcPr>
            <w:tcW w:w="10540" w:type="dxa"/>
            <w:vAlign w:val="bottom"/>
            <w:gridSpan w:val="23"/>
          </w:tcPr>
          <w:p>
            <w:pPr>
              <w:spacing w:after="0"/>
              <w:rPr>
                <w:sz w:val="20"/>
                <w:szCs w:val="20"/>
                <w:color w:val="auto"/>
              </w:rPr>
            </w:pPr>
            <w:r>
              <w:rPr>
                <w:rFonts w:ascii="Arial" w:cs="Arial" w:eastAsia="Arial" w:hAnsi="Arial"/>
                <w:sz w:val="17"/>
                <w:szCs w:val="17"/>
                <w:color w:val="0000EE"/>
              </w:rPr>
              <w:t>INCORPORATION BY REFERENCE</w:t>
            </w:r>
          </w:p>
        </w:tc>
        <w:tc>
          <w:tcPr>
            <w:tcW w:w="2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S-17</w:t>
            </w:r>
          </w:p>
        </w:tc>
        <w:tc>
          <w:tcPr>
            <w:tcW w:w="0" w:type="dxa"/>
            <w:vAlign w:val="bottom"/>
          </w:tcPr>
          <w:p>
            <w:pPr>
              <w:spacing w:after="0"/>
              <w:rPr>
                <w:sz w:val="1"/>
                <w:szCs w:val="1"/>
                <w:color w:val="auto"/>
              </w:rPr>
            </w:pPr>
          </w:p>
        </w:tc>
      </w:tr>
      <w:tr>
        <w:trPr>
          <w:trHeight w:val="435"/>
        </w:trPr>
        <w:tc>
          <w:tcPr>
            <w:tcW w:w="2800" w:type="dxa"/>
            <w:vAlign w:val="bottom"/>
            <w:tcBorders>
              <w:top w:val="single" w:sz="8" w:color="0000EE"/>
            </w:tcBorders>
            <w:gridSpan w:val="13"/>
          </w:tcPr>
          <w:p>
            <w:pPr>
              <w:spacing w:after="0"/>
              <w:rPr>
                <w:sz w:val="20"/>
                <w:szCs w:val="20"/>
                <w:color w:val="auto"/>
              </w:rPr>
            </w:pPr>
            <w:r>
              <w:rPr>
                <w:rFonts w:ascii="Arial" w:cs="Arial" w:eastAsia="Arial" w:hAnsi="Arial"/>
                <w:sz w:val="17"/>
                <w:szCs w:val="17"/>
                <w:b w:val="1"/>
                <w:bCs w:val="1"/>
                <w:color w:val="auto"/>
              </w:rPr>
              <w:t>Prospectus</w:t>
            </w:r>
          </w:p>
        </w:tc>
        <w:tc>
          <w:tcPr>
            <w:tcW w:w="77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540" w:type="dxa"/>
            <w:vAlign w:val="bottom"/>
            <w:gridSpan w:val="23"/>
          </w:tcPr>
          <w:p>
            <w:pPr>
              <w:spacing w:after="0"/>
              <w:rPr>
                <w:sz w:val="20"/>
                <w:szCs w:val="20"/>
                <w:color w:val="auto"/>
              </w:rPr>
            </w:pPr>
            <w:r>
              <w:rPr>
                <w:rFonts w:ascii="Arial" w:cs="Arial" w:eastAsia="Arial" w:hAnsi="Arial"/>
                <w:sz w:val="17"/>
                <w:szCs w:val="17"/>
                <w:color w:val="0000EE"/>
              </w:rPr>
              <w:t>ABOUT THIS PROSPECTUS</w:t>
            </w: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70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color w:val="0000EE"/>
                <w:w w:val="99"/>
              </w:rPr>
              <w:t>WHERE YOU CAN FIND MORE INFORMATION</w:t>
            </w:r>
          </w:p>
        </w:tc>
        <w:tc>
          <w:tcPr>
            <w:tcW w:w="6840" w:type="dxa"/>
            <w:vAlign w:val="bottom"/>
            <w:gridSpan w:val="4"/>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85"/>
        </w:trPr>
        <w:tc>
          <w:tcPr>
            <w:tcW w:w="5020" w:type="dxa"/>
            <w:vAlign w:val="bottom"/>
            <w:tcBorders>
              <w:bottom w:val="single" w:sz="8" w:color="0000EE"/>
            </w:tcBorders>
            <w:gridSpan w:val="20"/>
          </w:tcPr>
          <w:p>
            <w:pPr>
              <w:spacing w:after="0"/>
              <w:rPr>
                <w:sz w:val="20"/>
                <w:szCs w:val="20"/>
                <w:color w:val="auto"/>
              </w:rPr>
            </w:pPr>
            <w:r>
              <w:rPr>
                <w:rFonts w:ascii="Arial" w:cs="Arial" w:eastAsia="Arial" w:hAnsi="Arial"/>
                <w:sz w:val="17"/>
                <w:szCs w:val="17"/>
                <w:color w:val="0000EE"/>
                <w:w w:val="99"/>
              </w:rPr>
              <w:t>INCORPORATION OF CERTAIN DOCUMENTS BY REFERENCE</w:t>
            </w:r>
          </w:p>
        </w:tc>
        <w:tc>
          <w:tcPr>
            <w:tcW w:w="5520" w:type="dxa"/>
            <w:vAlign w:val="bottom"/>
            <w:gridSpan w:val="3"/>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85"/>
        </w:trPr>
        <w:tc>
          <w:tcPr>
            <w:tcW w:w="10540" w:type="dxa"/>
            <w:vAlign w:val="bottom"/>
            <w:gridSpan w:val="23"/>
          </w:tcPr>
          <w:p>
            <w:pPr>
              <w:spacing w:after="0"/>
              <w:rPr>
                <w:sz w:val="20"/>
                <w:szCs w:val="20"/>
                <w:color w:val="auto"/>
              </w:rPr>
            </w:pPr>
            <w:r>
              <w:rPr>
                <w:rFonts w:ascii="Arial" w:cs="Arial" w:eastAsia="Arial" w:hAnsi="Arial"/>
                <w:sz w:val="17"/>
                <w:szCs w:val="17"/>
                <w:color w:val="0000EE"/>
              </w:rPr>
              <w:t>CAUTIONARY NOTE REGARDING FORWARD-LOOKING STATEMENTS</w:t>
            </w: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85"/>
        </w:trPr>
        <w:tc>
          <w:tcPr>
            <w:tcW w:w="5640" w:type="dxa"/>
            <w:vAlign w:val="bottom"/>
            <w:tcBorders>
              <w:top w:val="single" w:sz="8" w:color="0000EE"/>
            </w:tcBorders>
            <w:gridSpan w:val="21"/>
          </w:tcPr>
          <w:p>
            <w:pPr>
              <w:spacing w:after="0"/>
              <w:rPr>
                <w:sz w:val="20"/>
                <w:szCs w:val="20"/>
                <w:color w:val="auto"/>
              </w:rPr>
            </w:pPr>
            <w:r>
              <w:rPr>
                <w:rFonts w:ascii="Arial" w:cs="Arial" w:eastAsia="Arial" w:hAnsi="Arial"/>
                <w:sz w:val="17"/>
                <w:szCs w:val="17"/>
                <w:color w:val="0000EE"/>
              </w:rPr>
              <w:t>RISK FACTORS</w:t>
            </w:r>
          </w:p>
        </w:tc>
        <w:tc>
          <w:tcPr>
            <w:tcW w:w="4900" w:type="dxa"/>
            <w:vAlign w:val="bottom"/>
            <w:gridSpan w:val="2"/>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94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ABOUT CLIMB BIO, INC.</w:t>
            </w:r>
          </w:p>
        </w:tc>
        <w:tc>
          <w:tcPr>
            <w:tcW w:w="8600" w:type="dxa"/>
            <w:vAlign w:val="bottom"/>
            <w:gridSpan w:val="16"/>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85"/>
        </w:trPr>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USE OF PROCEEDS</w:t>
            </w:r>
          </w:p>
        </w:tc>
        <w:tc>
          <w:tcPr>
            <w:tcW w:w="8900" w:type="dxa"/>
            <w:vAlign w:val="bottom"/>
            <w:gridSpan w:val="17"/>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85"/>
        </w:trPr>
        <w:tc>
          <w:tcPr>
            <w:tcW w:w="10540" w:type="dxa"/>
            <w:vAlign w:val="bottom"/>
            <w:gridSpan w:val="23"/>
          </w:tcPr>
          <w:p>
            <w:pPr>
              <w:spacing w:after="0"/>
              <w:rPr>
                <w:sz w:val="20"/>
                <w:szCs w:val="20"/>
                <w:color w:val="auto"/>
              </w:rPr>
            </w:pPr>
            <w:r>
              <w:rPr>
                <w:rFonts w:ascii="Arial" w:cs="Arial" w:eastAsia="Arial" w:hAnsi="Arial"/>
                <w:sz w:val="17"/>
                <w:szCs w:val="17"/>
                <w:color w:val="0000EE"/>
              </w:rPr>
              <w:t>DESCRIPTION OF DEBT SECURITIES</w:t>
            </w: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85"/>
        </w:trPr>
        <w:tc>
          <w:tcPr>
            <w:tcW w:w="3020" w:type="dxa"/>
            <w:vAlign w:val="bottom"/>
            <w:tcBorders>
              <w:top w:val="single" w:sz="8" w:color="0000EE"/>
            </w:tcBorders>
            <w:gridSpan w:val="15"/>
          </w:tcPr>
          <w:p>
            <w:pPr>
              <w:spacing w:after="0"/>
              <w:rPr>
                <w:sz w:val="20"/>
                <w:szCs w:val="20"/>
                <w:color w:val="auto"/>
              </w:rPr>
            </w:pPr>
            <w:r>
              <w:rPr>
                <w:rFonts w:ascii="Arial" w:cs="Arial" w:eastAsia="Arial" w:hAnsi="Arial"/>
                <w:sz w:val="17"/>
                <w:szCs w:val="17"/>
                <w:color w:val="0000EE"/>
              </w:rPr>
              <w:t>DESCRIPTION OF CAPITAL STOCK</w:t>
            </w:r>
          </w:p>
        </w:tc>
        <w:tc>
          <w:tcPr>
            <w:tcW w:w="7520" w:type="dxa"/>
            <w:vAlign w:val="bottom"/>
            <w:gridSpan w:val="8"/>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80" w:type="dxa"/>
            <w:vAlign w:val="bottom"/>
            <w:tcBorders>
              <w:bottom w:val="single" w:sz="8" w:color="0000EE"/>
            </w:tcBorders>
            <w:gridSpan w:val="18"/>
          </w:tcPr>
          <w:p>
            <w:pPr>
              <w:spacing w:after="0"/>
              <w:rPr>
                <w:sz w:val="20"/>
                <w:szCs w:val="20"/>
                <w:color w:val="auto"/>
              </w:rPr>
            </w:pPr>
            <w:r>
              <w:rPr>
                <w:rFonts w:ascii="Arial" w:cs="Arial" w:eastAsia="Arial" w:hAnsi="Arial"/>
                <w:sz w:val="17"/>
                <w:szCs w:val="17"/>
                <w:color w:val="0000EE"/>
              </w:rPr>
              <w:t>DESCRIPTION OF SUBSCRIPTION RIGHTS</w:t>
            </w:r>
          </w:p>
        </w:tc>
        <w:tc>
          <w:tcPr>
            <w:tcW w:w="7060" w:type="dxa"/>
            <w:vAlign w:val="bottom"/>
            <w:gridSpan w:val="5"/>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85"/>
        </w:trPr>
        <w:tc>
          <w:tcPr>
            <w:tcW w:w="202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9"/>
              </w:rPr>
              <w:t>DESCRIPTION OF UNITS</w:t>
            </w:r>
          </w:p>
        </w:tc>
        <w:tc>
          <w:tcPr>
            <w:tcW w:w="8520" w:type="dxa"/>
            <w:vAlign w:val="bottom"/>
            <w:gridSpan w:val="13"/>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85"/>
        </w:trPr>
        <w:tc>
          <w:tcPr>
            <w:tcW w:w="10540" w:type="dxa"/>
            <w:vAlign w:val="bottom"/>
            <w:gridSpan w:val="23"/>
          </w:tcPr>
          <w:p>
            <w:pPr>
              <w:spacing w:after="0"/>
              <w:rPr>
                <w:sz w:val="20"/>
                <w:szCs w:val="20"/>
                <w:color w:val="auto"/>
              </w:rPr>
            </w:pPr>
            <w:r>
              <w:rPr>
                <w:rFonts w:ascii="Arial" w:cs="Arial" w:eastAsia="Arial" w:hAnsi="Arial"/>
                <w:sz w:val="17"/>
                <w:szCs w:val="17"/>
                <w:color w:val="0000EE"/>
              </w:rPr>
              <w:t>DESCRIPTION OF WARRANTS</w:t>
            </w: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85"/>
        </w:trPr>
        <w:tc>
          <w:tcPr>
            <w:tcW w:w="19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9"/>
              </w:rPr>
              <w:t>FORMS OF SECURITIES</w:t>
            </w:r>
          </w:p>
        </w:tc>
        <w:tc>
          <w:tcPr>
            <w:tcW w:w="480" w:type="dxa"/>
            <w:vAlign w:val="bottom"/>
            <w:tcBorders>
              <w:top w:val="single" w:sz="8" w:color="0000EE"/>
            </w:tcBorders>
            <w:gridSpan w:val="4"/>
          </w:tcPr>
          <w:p>
            <w:pPr>
              <w:spacing w:after="0"/>
              <w:rPr>
                <w:sz w:val="24"/>
                <w:szCs w:val="24"/>
                <w:color w:val="auto"/>
              </w:rPr>
            </w:pPr>
          </w:p>
        </w:tc>
        <w:tc>
          <w:tcPr>
            <w:tcW w:w="8080" w:type="dxa"/>
            <w:vAlign w:val="bottom"/>
            <w:gridSpan w:val="11"/>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85"/>
        </w:trPr>
        <w:tc>
          <w:tcPr>
            <w:tcW w:w="200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rPr>
              <w:t>PLAN OF DISTRIBUTION</w:t>
            </w:r>
          </w:p>
        </w:tc>
        <w:tc>
          <w:tcPr>
            <w:tcW w:w="8540" w:type="dxa"/>
            <w:vAlign w:val="bottom"/>
            <w:gridSpan w:val="14"/>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85"/>
        </w:trPr>
        <w:tc>
          <w:tcPr>
            <w:tcW w:w="140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8"/>
              </w:rPr>
              <w:t>LEGAL MATTERS</w:t>
            </w:r>
          </w:p>
        </w:tc>
        <w:tc>
          <w:tcPr>
            <w:tcW w:w="9140" w:type="dxa"/>
            <w:vAlign w:val="bottom"/>
            <w:gridSpan w:val="18"/>
          </w:tcPr>
          <w:p>
            <w:pPr>
              <w:spacing w:after="0"/>
              <w:rPr>
                <w:sz w:val="24"/>
                <w:szCs w:val="24"/>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385"/>
        </w:trPr>
        <w:tc>
          <w:tcPr>
            <w:tcW w:w="10540" w:type="dxa"/>
            <w:vAlign w:val="bottom"/>
            <w:gridSpan w:val="23"/>
          </w:tcPr>
          <w:p>
            <w:pPr>
              <w:spacing w:after="0"/>
              <w:rPr>
                <w:sz w:val="20"/>
                <w:szCs w:val="20"/>
                <w:color w:val="auto"/>
              </w:rPr>
            </w:pPr>
            <w:r>
              <w:rPr>
                <w:rFonts w:ascii="Arial" w:cs="Arial" w:eastAsia="Arial" w:hAnsi="Arial"/>
                <w:sz w:val="17"/>
                <w:szCs w:val="17"/>
                <w:color w:val="0000EE"/>
              </w:rPr>
              <w:t>EXPERTS</w:t>
            </w: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3"/>
        </w:trPr>
        <w:tc>
          <w:tcPr>
            <w:tcW w:w="800" w:type="dxa"/>
            <w:vAlign w:val="bottom"/>
            <w:tcBorders>
              <w:top w:val="single" w:sz="8" w:color="0000EE"/>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31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common stock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30"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We have not, and Jefferies has not, authorized anyone to provide you with any information other than that contained or incorporated by reference in this prospectus supplement, the accompanying prospectus or in any related free writing prospectus that we authorize for use in connection with this offering and to which we have referred you. We and Jefferies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supplement, the documents incorporated by reference herein, and any other related prospectus supplement or free writing prospectus is accurate only as of their respective dates. Our business, financial condition, results of operations and prospects may have changed materially since those dates.</w:t>
      </w:r>
    </w:p>
    <w:p>
      <w:pPr>
        <w:spacing w:after="0" w:line="12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color w:val="auto"/>
        </w:rPr>
        <w:t>This prospectus supplement and the accompanying prospectus do not constitute an offer to sell or the solicitation of an offer to buy any securities other than the securities described in this prospectus supplement and the accompanying prospectus or an offer to sell or the solicitation of an offer to buy such securities in any circumstances in which such offer or solicitation is unlawful. We are not, and Jefferies is not, making an offer to sell these securities in any jurisdiction where the offer or sale is not permitted.</w:t>
      </w:r>
    </w:p>
    <w:p>
      <w:pPr>
        <w:spacing w:after="0" w:line="123" w:lineRule="exact"/>
        <w:rPr>
          <w:sz w:val="20"/>
          <w:szCs w:val="20"/>
          <w:color w:val="auto"/>
        </w:rPr>
      </w:pPr>
    </w:p>
    <w:p>
      <w:pPr>
        <w:ind w:left="120" w:right="320"/>
        <w:spacing w:after="0" w:line="267" w:lineRule="auto"/>
        <w:rPr>
          <w:sz w:val="20"/>
          <w:szCs w:val="20"/>
          <w:color w:val="auto"/>
        </w:rPr>
      </w:pPr>
      <w:r>
        <w:rPr>
          <w:rFonts w:ascii="Arial" w:cs="Arial" w:eastAsia="Arial" w:hAnsi="Arial"/>
          <w:sz w:val="17"/>
          <w:szCs w:val="17"/>
          <w:color w:val="auto"/>
        </w:rPr>
        <w:t>Unless the context otherwise indicates, references in this prospectus supplement to “we,” “our” and “us” refer, collectively, to Climb Bio, Inc., a Delaware corporation, and its consolidated subsidiaries.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316"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herein and therein include “forward-looking statements” within the meaning of Section 27A of the Securities Act and Section 21E of the Exchange Act that involve substantial risks and uncertainties. All statements, other than statements of historical fact, contained in this prospectus supplement, the accompanying prospectus and the information incorporated by reference herein and therein, including statements regarding our strategy, future operations, future financial position, future revenue, projected costs, prospects, plans, objectives of management and expected market growth, are forward-looking statements. The words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w:t>
      </w:r>
    </w:p>
    <w:p>
      <w:pPr>
        <w:spacing w:after="0" w:line="130"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color w:val="auto"/>
        </w:rPr>
        <w:t>The forward-looking statements in this prospectus supplement, the accompanying prospectus and the information incorporated by reference herein and therein include, among other things, statements about:</w:t>
      </w:r>
    </w:p>
    <w:p>
      <w:pPr>
        <w:spacing w:after="0" w:line="146" w:lineRule="exact"/>
        <w:rPr>
          <w:sz w:val="20"/>
          <w:szCs w:val="20"/>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initiation, timing, progress and results of our research and development programs, nonclinical studies and clinical trials;</w:t>
      </w:r>
    </w:p>
    <w:p>
      <w:pPr>
        <w:spacing w:after="0" w:line="34" w:lineRule="exact"/>
        <w:rPr>
          <w:rFonts w:ascii="MS PGothic" w:cs="MS PGothic" w:eastAsia="MS PGothic" w:hAnsi="MS PGothic"/>
          <w:sz w:val="13"/>
          <w:szCs w:val="13"/>
          <w:color w:val="auto"/>
        </w:rPr>
      </w:pPr>
    </w:p>
    <w:p>
      <w:pPr>
        <w:ind w:left="980" w:right="220" w:hanging="432"/>
        <w:spacing w:after="0" w:line="253"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anticipated timing of the submission and clearance of investigational new drug applications and comparable foreign applications for budoprutug and CLYM116;</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estimates regarding the potential patient populations for our product candidates;</w:t>
      </w:r>
    </w:p>
    <w:p>
      <w:pPr>
        <w:spacing w:after="0" w:line="34" w:lineRule="exact"/>
        <w:rPr>
          <w:rFonts w:ascii="MS PGothic" w:cs="MS PGothic" w:eastAsia="MS PGothic" w:hAnsi="MS PGothic"/>
          <w:sz w:val="13"/>
          <w:szCs w:val="13"/>
          <w:color w:val="auto"/>
        </w:rPr>
      </w:pPr>
    </w:p>
    <w:p>
      <w:pPr>
        <w:ind w:left="980" w:right="80" w:hanging="432"/>
        <w:spacing w:after="0" w:line="246"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estimates regarding expenses, future revenue, capital requirements, need for additional financing and the period over which we believe our cash, cash equivalents and marketable securities will be sufficient to fund our operating expenses and capital expenditure requirements;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plans to develop and, if approved, subsequently commercialize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timing of and our ability to submit applications for, and obtain and maintain regulatory approvals for our product candidates;</w:t>
      </w:r>
    </w:p>
    <w:p>
      <w:pPr>
        <w:spacing w:after="0" w:line="34" w:lineRule="exact"/>
        <w:rPr>
          <w:rFonts w:ascii="MS PGothic" w:cs="MS PGothic" w:eastAsia="MS PGothic" w:hAnsi="MS PGothic"/>
          <w:sz w:val="13"/>
          <w:szCs w:val="13"/>
          <w:color w:val="auto"/>
        </w:rPr>
      </w:pPr>
    </w:p>
    <w:p>
      <w:pPr>
        <w:ind w:left="980" w:right="620" w:hanging="432"/>
        <w:spacing w:after="0" w:line="253"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intellectual property position and our expectations regarding our ability to obtain, maintain and enforce intellectual property protection for our product candidates;</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estimates regarding the size of the potential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commercialization, marketing and manufacturing capabilities and strategy;</w:t>
      </w:r>
    </w:p>
    <w:p>
      <w:pPr>
        <w:spacing w:after="0" w:line="34" w:lineRule="exact"/>
        <w:rPr>
          <w:rFonts w:ascii="MS PGothic" w:cs="MS PGothic" w:eastAsia="MS PGothic" w:hAnsi="MS PGothic"/>
          <w:sz w:val="13"/>
          <w:szCs w:val="13"/>
          <w:color w:val="auto"/>
        </w:rPr>
      </w:pPr>
    </w:p>
    <w:p>
      <w:pPr>
        <w:ind w:left="980" w:right="400" w:hanging="432"/>
        <w:spacing w:after="0" w:line="253"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competitive position and expectations regarding developments and projections relating to our competitors and any competing products that are or might become available;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impact of government laws and regulations;</w:t>
      </w:r>
    </w:p>
    <w:p>
      <w:pPr>
        <w:spacing w:after="0" w:line="34" w:lineRule="exact"/>
        <w:rPr>
          <w:rFonts w:ascii="MS PGothic" w:cs="MS PGothic" w:eastAsia="MS PGothic" w:hAnsi="MS PGothic"/>
          <w:sz w:val="13"/>
          <w:szCs w:val="13"/>
          <w:color w:val="auto"/>
        </w:rPr>
      </w:pPr>
    </w:p>
    <w:p>
      <w:pPr>
        <w:ind w:left="980" w:right="40" w:hanging="432"/>
        <w:spacing w:after="0" w:line="253"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the benefits of, and our ability to satisfy our obligations under, our license agreements, including the technology transfer and exclusive license agreement with Beijing Mabworks Biotech Co., Ltd.;</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ability to enter into future collaborations, strategic alliances, or option and license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time during which we will be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our expected use of proceeds from this offering, if any.</w:t>
      </w:r>
    </w:p>
    <w:p>
      <w:pPr>
        <w:spacing w:after="0" w:line="15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Factors that may cause actual results to differ materially from current expectations include, among other things, those listed under in the “Risk Factors” section of this prospectus supplement and the “Risk Factors” sections contained in our most recent Annual Report on Form 10-K, Quarterly Report on Form 10-Q and the other filings we make with the Securities and Exchange Commission, or the SEC, from time to time, which are incorporated by reference into this prospectus supplement. Moreover, we operate in a competitive and rapidly changing environment. New risk factors and uncertainties may emerge from time to time, and it is not possible for management to predict all risk factors and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uncertainties,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that we may make or enter into.</w:t>
      </w:r>
    </w:p>
    <w:p>
      <w:pPr>
        <w:spacing w:after="0" w:line="123" w:lineRule="exact"/>
        <w:rPr>
          <w:sz w:val="20"/>
          <w:szCs w:val="20"/>
          <w:color w:val="auto"/>
        </w:rPr>
      </w:pPr>
    </w:p>
    <w:p>
      <w:pPr>
        <w:ind w:left="120" w:right="60"/>
        <w:spacing w:after="0" w:line="241" w:lineRule="auto"/>
        <w:rPr>
          <w:sz w:val="20"/>
          <w:szCs w:val="20"/>
          <w:color w:val="auto"/>
        </w:rPr>
      </w:pPr>
      <w:r>
        <w:rPr>
          <w:rFonts w:ascii="Arial" w:cs="Arial" w:eastAsia="Arial" w:hAnsi="Arial"/>
          <w:sz w:val="17"/>
          <w:szCs w:val="17"/>
          <w:color w:val="auto"/>
        </w:rPr>
        <w:t>You should read this prospectus supplement, the accompanying prospectus and the information incorporated by reference herein and therein completely and with the understanding that our actual future results may be materially different from what we expect. The forward-looking statements contained in this prospectus supplement, the accompanying prospectus and incorporated by reference herein and therein are made as of the date when made. We do not assume any obligation to update any forward-looking statements, whether as a result of new information, future events or otherwise, except as required by applicable law.</w:t>
      </w:r>
    </w:p>
    <w:p>
      <w:pPr>
        <w:spacing w:after="0" w:line="12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All of the market data used in this prospectus supplement, the accompanying prospectus and the information incorporated by reference herein and therein involves a number of assumptions and limitations, and you are cautioned not to give undue weight to such data. We believe that the information from these industry publications, surveys and studies is reliable.</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000"/>
          </w:cols>
          <w:pgMar w:left="320" w:top="455" w:right="5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30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4305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318" w:lineRule="exact"/>
        <w:rPr>
          <w:sz w:val="20"/>
          <w:szCs w:val="20"/>
          <w:color w:val="auto"/>
        </w:rPr>
      </w:pPr>
    </w:p>
    <w:p>
      <w:pPr>
        <w:ind w:left="300"/>
        <w:spacing w:after="0" w:line="237" w:lineRule="auto"/>
        <w:rPr>
          <w:sz w:val="20"/>
          <w:szCs w:val="20"/>
          <w:color w:val="auto"/>
        </w:rPr>
      </w:pPr>
      <w:r>
        <w:rPr>
          <w:rFonts w:ascii="Arial" w:cs="Arial" w:eastAsia="Arial" w:hAnsi="Arial"/>
          <w:sz w:val="17"/>
          <w:szCs w:val="17"/>
          <w:i w:val="1"/>
          <w:iCs w:val="1"/>
          <w:color w:val="auto"/>
        </w:rPr>
        <w:t>This summary highlights certain information about us, this offering and selected information contained elsewhere in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the documents incorporated by reference herein and therein, and the information under the heading “Risk Factors” in this prospectus supplement, our most recent Annual Report on Form 10-K, our most recent Quarterly Reports on Form 10-Q and other filings we make with the SEC from time to time, which are incorporated by reference herein.</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60" w:lineRule="exact"/>
        <w:rPr>
          <w:sz w:val="20"/>
          <w:szCs w:val="20"/>
          <w:color w:val="auto"/>
        </w:rPr>
      </w:pPr>
    </w:p>
    <w:p>
      <w:pPr>
        <w:ind w:left="300" w:right="180"/>
        <w:spacing w:after="0" w:line="244" w:lineRule="auto"/>
        <w:rPr>
          <w:sz w:val="20"/>
          <w:szCs w:val="20"/>
          <w:color w:val="auto"/>
        </w:rPr>
      </w:pPr>
      <w:r>
        <w:rPr>
          <w:rFonts w:ascii="Arial" w:cs="Arial" w:eastAsia="Arial" w:hAnsi="Arial"/>
          <w:sz w:val="17"/>
          <w:szCs w:val="17"/>
          <w:color w:val="auto"/>
        </w:rPr>
        <w:t>We are a clinical-stage biotechnology company committed to developing potential best-in-class therapeutics that address significant unmet need for patients living with immune-mediated diseases. We have built our pipeline by strategically acquiring or in-licensing product candidates that we believe have clear biological rationale, well-defined development pathways, and the potential to address multiple indications.</w:t>
      </w:r>
    </w:p>
    <w:p>
      <w:pPr>
        <w:spacing w:after="0" w:line="123" w:lineRule="exact"/>
        <w:rPr>
          <w:sz w:val="20"/>
          <w:szCs w:val="20"/>
          <w:color w:val="auto"/>
        </w:rPr>
      </w:pPr>
    </w:p>
    <w:p>
      <w:pPr>
        <w:ind w:left="300" w:right="60"/>
        <w:spacing w:after="0" w:line="239" w:lineRule="auto"/>
        <w:rPr>
          <w:sz w:val="20"/>
          <w:szCs w:val="20"/>
          <w:color w:val="auto"/>
        </w:rPr>
      </w:pPr>
      <w:r>
        <w:rPr>
          <w:rFonts w:ascii="Arial" w:cs="Arial" w:eastAsia="Arial" w:hAnsi="Arial"/>
          <w:sz w:val="17"/>
          <w:szCs w:val="17"/>
          <w:color w:val="auto"/>
        </w:rPr>
        <w:t>Our lead product candidate, budoprutug, is a clinical-stage anti-CD19 monoclonal antibody, or mAb, designed to deplete CD19-positive B cells. CD19 plays a mechanistic role across all stages of B-cell development, and emerging clinical evidence continues to support the importance of CD19 in immune-mediated diseases. By targeting CD19, budoprutug has the potential to provide rapid, profound, and durable reductions in B cells and pathogenic autoantibodies, which may allow for a disease-modifying therapeutic approach. We have focused our initial development strategy for budoprutug on primary membranous nephropathy, immune thrombocytopenia, and systemic lupus erythematosus, which we believe each offer a strong mechanistic rationale for CD19-directed therapy.</w:t>
      </w:r>
    </w:p>
    <w:p>
      <w:pPr>
        <w:spacing w:after="0" w:line="128" w:lineRule="exact"/>
        <w:rPr>
          <w:sz w:val="20"/>
          <w:szCs w:val="20"/>
          <w:color w:val="auto"/>
        </w:rPr>
      </w:pPr>
    </w:p>
    <w:p>
      <w:pPr>
        <w:ind w:left="300" w:right="280"/>
        <w:spacing w:after="0" w:line="241" w:lineRule="auto"/>
        <w:rPr>
          <w:sz w:val="20"/>
          <w:szCs w:val="20"/>
          <w:color w:val="auto"/>
        </w:rPr>
      </w:pPr>
      <w:r>
        <w:rPr>
          <w:rFonts w:ascii="Arial" w:cs="Arial" w:eastAsia="Arial" w:hAnsi="Arial"/>
          <w:sz w:val="17"/>
          <w:szCs w:val="17"/>
          <w:color w:val="auto"/>
        </w:rPr>
        <w:t>In addition to budoprutug, we are developing CLYM116, a next generation anti-APRIL (A PRoliferation-Inducing Ligand) mAb for the treatment of patients with immunoglobulin A, or IgA, nephropathy and other B-cell mediated diseases. CLYM116 is a highly potent, Fc-engineered antibody that prevents APRIL signaling by potently blocking the binding of APRIL to its receptors and promoting lysosomal APRIL degradation through a pH-dependent bind-and-release ‘sweeper’ mechanism. Through this unique binding profile and half-life extending Fc-engineering, CLYM116 has the potential to enable deep and durable inhibition of APRIL signaling and IgA production.</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principal executive offices are located at 20 William Street, Suite 145, Wellesley Hills, Massachusetts 02481. Our telephone number is</w:t>
      </w:r>
    </w:p>
    <w:p>
      <w:pPr>
        <w:spacing w:after="0" w:line="10" w:lineRule="exact"/>
        <w:rPr>
          <w:sz w:val="20"/>
          <w:szCs w:val="20"/>
          <w:color w:val="auto"/>
        </w:rPr>
      </w:pPr>
    </w:p>
    <w:p>
      <w:pPr>
        <w:ind w:left="300" w:right="140" w:hanging="2"/>
        <w:spacing w:after="0"/>
        <w:tabs>
          <w:tab w:leader="none" w:pos="746" w:val="left"/>
        </w:tabs>
        <w:numPr>
          <w:ilvl w:val="0"/>
          <w:numId w:val="2"/>
        </w:numPr>
        <w:rPr>
          <w:rFonts w:ascii="Arial" w:cs="Arial" w:eastAsia="Arial" w:hAnsi="Arial"/>
          <w:sz w:val="17"/>
          <w:szCs w:val="17"/>
          <w:color w:val="auto"/>
        </w:rPr>
      </w:pPr>
      <w:r>
        <w:rPr>
          <w:rFonts w:ascii="Arial" w:cs="Arial" w:eastAsia="Arial" w:hAnsi="Arial"/>
          <w:sz w:val="17"/>
          <w:szCs w:val="17"/>
          <w:color w:val="auto"/>
        </w:rPr>
        <w:t>857-2596. Our website address is www.climbbio.com. The information contained on, or that can be accessed through, our website is not a part of this prospectus supplement. We have included our website address in this prospectus supplement solely as an inactive textual reference.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60" w:lineRule="exact"/>
        <w:rPr>
          <w:sz w:val="20"/>
          <w:szCs w:val="20"/>
          <w:color w:val="auto"/>
        </w:rPr>
      </w:pPr>
    </w:p>
    <w:p>
      <w:pPr>
        <w:jc w:val="both"/>
        <w:ind w:left="300" w:right="40"/>
        <w:spacing w:after="0" w:line="241"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December 31, 2026. The JOBS Act contains provisions that, among other things, reduce certain reporting requirements for an emerging growth company. For so long as we remain an emerging growth company, we are permitted and plan to rely on exemptions from certain disclosure requirements that are applicable to other public companies that are not emerging growth companies. These exemptions include reduced disclosure obligations regarding executive compensation. In addition, as an emerging growth company,</w:t>
      </w:r>
    </w:p>
    <w:p>
      <w:pPr>
        <w:spacing w:after="0" w:line="30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778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1778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340"/>
        <w:spacing w:after="0" w:line="267" w:lineRule="auto"/>
        <w:rPr>
          <w:sz w:val="20"/>
          <w:szCs w:val="20"/>
          <w:color w:val="auto"/>
        </w:rPr>
      </w:pPr>
      <w:r>
        <w:rPr>
          <w:rFonts w:ascii="Arial" w:cs="Arial" w:eastAsia="Arial" w:hAnsi="Arial"/>
          <w:sz w:val="17"/>
          <w:szCs w:val="17"/>
          <w:color w:val="auto"/>
        </w:rPr>
        <w:t>we are not required to conduct votes seeking approval, on an advisory basis, of the compensation of our named executive officers or the frequency with which such votes must be conducted.</w:t>
      </w:r>
    </w:p>
    <w:p>
      <w:pPr>
        <w:spacing w:after="0" w:line="105"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was less than $700.0 million as of the last business day of our most recently completed second fiscal quarter and our annual revenue was less than $100.0 million during our most recently completed fiscal year. We may continue to be a smaller reporting company if either (i) the market value of our stock held by non-affiliates is less than $250.0 million as of the last business day of our most recently completed second fiscal quarter or (ii) our annual revenue is less than $100.0 million during the most recently completed fiscal year and the market value of our stock held by non-affiliates is less than $700.0 million as of the last business day of our most recently completed second fiscal quarter.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smaller reporting companies.</w:t>
      </w:r>
    </w:p>
    <w:p>
      <w:pPr>
        <w:spacing w:after="0" w:line="3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70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357"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7"/>
          <w:szCs w:val="17"/>
          <w:color w:val="auto"/>
        </w:rPr>
        <w:t>Common Stock Offered by Us:</w:t>
      </w:r>
      <w:r>
        <w:rPr>
          <w:sz w:val="20"/>
          <w:szCs w:val="20"/>
          <w:color w:val="auto"/>
        </w:rPr>
        <w:tab/>
      </w:r>
      <w:r>
        <w:rPr>
          <w:rFonts w:ascii="Arial" w:cs="Arial" w:eastAsia="Arial" w:hAnsi="Arial"/>
          <w:sz w:val="17"/>
          <w:szCs w:val="17"/>
          <w:color w:val="auto"/>
        </w:rPr>
        <w:t>Shares of our common stock having an aggregate offering price of up to $100,000,000.</w:t>
      </w:r>
    </w:p>
    <w:p>
      <w:pPr>
        <w:spacing w:after="0" w:line="210" w:lineRule="exact"/>
        <w:rPr>
          <w:sz w:val="20"/>
          <w:szCs w:val="20"/>
          <w:color w:val="auto"/>
        </w:rPr>
      </w:pPr>
    </w:p>
    <w:p>
      <w:pPr>
        <w:ind w:left="4340" w:right="20" w:hanging="4034"/>
        <w:spacing w:after="0" w:line="241" w:lineRule="auto"/>
        <w:rPr>
          <w:sz w:val="20"/>
          <w:szCs w:val="20"/>
          <w:color w:val="auto"/>
        </w:rPr>
      </w:pPr>
      <w:r>
        <w:rPr>
          <w:rFonts w:ascii="Arial" w:cs="Arial" w:eastAsia="Arial" w:hAnsi="Arial"/>
          <w:sz w:val="17"/>
          <w:szCs w:val="17"/>
          <w:color w:val="auto"/>
        </w:rPr>
        <w:t>Common Stock to be Outstanding After this Offering: Up to 56,934,445 shares, assuming sales of 9,165,902 shares of our common stock in the offering at a price of $10.91 per share, which was the closing price of our common stock on the Nasdaq Global Market on June 11, 2026. The actual number of shares issued will vary depending on the number of shares of our common stock we choose to sell and the sales price under this offering.</w:t>
      </w:r>
    </w:p>
    <w:p>
      <w:pPr>
        <w:sectPr>
          <w:pgSz w:w="11900" w:h="16838" w:orient="portrait"/>
          <w:cols w:equalWidth="0" w:num="1">
            <w:col w:w="10940"/>
          </w:cols>
          <w:pgMar w:left="320" w:top="455" w:right="639" w:bottom="1440" w:gutter="0" w:footer="0" w:header="0"/>
        </w:sectPr>
      </w:pP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Plan of Distribution: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“At the market offering” as defined in Rule 415(a)(4) under the Securities Act, that may be made from time to time through our sales agent, Jefferies. See “Plan of Distribution” on page S-13 of this prospectus supplement.</w:t>
      </w:r>
    </w:p>
    <w:p>
      <w:pPr>
        <w:spacing w:after="0" w:line="161"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7"/>
          <w:szCs w:val="17"/>
          <w:color w:val="auto"/>
        </w:rPr>
        <w:t>We intend to use the net proceeds from this offering primarily for general corporate purposes, which may include working capital and capital expenditures, expenses related to research, clinical development and commercial efforts, general and administrative expenses, and potential acquisitions of, or investments in, companies, technologies, products or assets that complement our business. See “Use of Proceeds” on page S-10 of this prospectus supplement for more information.</w:t>
      </w:r>
    </w:p>
    <w:p>
      <w:pPr>
        <w:spacing w:after="0" w:line="169"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20"/>
        <w:spacing w:after="0" w:line="241" w:lineRule="auto"/>
        <w:rPr>
          <w:sz w:val="20"/>
          <w:szCs w:val="20"/>
          <w:color w:val="auto"/>
        </w:rPr>
      </w:pPr>
      <w:r>
        <w:rPr>
          <w:rFonts w:ascii="Arial" w:cs="Arial" w:eastAsia="Arial" w:hAnsi="Arial"/>
          <w:sz w:val="17"/>
          <w:szCs w:val="17"/>
          <w:color w:val="auto"/>
        </w:rPr>
        <w:t>Investing in our common stock involves significant risks. See “Risk Factors” beginning on page S-8 of this prospectus supplement and the other information included in, or incorporated by reference into, this prospectus supplement for a discussion of certain factors you should carefully consider before deciding to invest in shares of our common stock.</w:t>
      </w:r>
    </w:p>
    <w:p>
      <w:pPr>
        <w:spacing w:after="0" w:line="166"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“CLYM”</w:t>
      </w:r>
    </w:p>
    <w:p>
      <w:pPr>
        <w:spacing w:after="0" w:line="18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right="140"/>
        <w:spacing w:after="0" w:line="267" w:lineRule="auto"/>
        <w:rPr>
          <w:sz w:val="20"/>
          <w:szCs w:val="20"/>
          <w:color w:val="auto"/>
        </w:rPr>
      </w:pPr>
      <w:r>
        <w:rPr>
          <w:rFonts w:ascii="Arial" w:cs="Arial" w:eastAsia="Arial" w:hAnsi="Arial"/>
          <w:sz w:val="17"/>
          <w:szCs w:val="17"/>
          <w:color w:val="auto"/>
        </w:rPr>
        <w:t>The number of shares of our common stock to be outstanding after this offering, unless otherwise indicated, is based on 47,768,543 shares of common stock outstanding as of March 31, 2026, and excludes:</w:t>
      </w:r>
    </w:p>
    <w:p>
      <w:pPr>
        <w:spacing w:after="0" w:line="146" w:lineRule="exact"/>
        <w:rPr>
          <w:sz w:val="20"/>
          <w:szCs w:val="20"/>
          <w:color w:val="auto"/>
        </w:rPr>
      </w:pPr>
    </w:p>
    <w:p>
      <w:pPr>
        <w:ind w:left="1120" w:right="380" w:hanging="403"/>
        <w:spacing w:after="0" w:line="25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8,481,645 shares of common stock issuable upon exercise of stock options outstanding as of March 31, 2026, at a weighted-average exercise price of $3.15 per share;</w:t>
      </w:r>
    </w:p>
    <w:p>
      <w:pPr>
        <w:spacing w:after="0" w:line="6"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207,775 shares of common stock issuable upon vesting and settlement of outstanding restricted stock units as of March 31, 2026;</w:t>
      </w:r>
    </w:p>
    <w:p>
      <w:pPr>
        <w:spacing w:after="0" w:line="34" w:lineRule="exact"/>
        <w:rPr>
          <w:rFonts w:ascii="MS PGothic" w:cs="MS PGothic" w:eastAsia="MS PGothic" w:hAnsi="MS PGothic"/>
          <w:sz w:val="13"/>
          <w:szCs w:val="13"/>
          <w:color w:val="auto"/>
        </w:rPr>
      </w:pPr>
    </w:p>
    <w:p>
      <w:pPr>
        <w:ind w:left="1120" w:right="120" w:hanging="403"/>
        <w:spacing w:after="0" w:line="253"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20,440,000 shares of our common stock issuable upon the exercise of pre-funded warrants outstanding as of March 31, 2026, at an exercise price of $0.0001 per share;</w:t>
      </w:r>
    </w:p>
    <w:p>
      <w:pPr>
        <w:spacing w:after="0" w:line="6" w:lineRule="exact"/>
        <w:rPr>
          <w:rFonts w:ascii="MS PGothic" w:cs="MS PGothic" w:eastAsia="MS PGothic" w:hAnsi="MS PGothic"/>
          <w:sz w:val="13"/>
          <w:szCs w:val="13"/>
          <w:color w:val="auto"/>
        </w:rPr>
      </w:pPr>
    </w:p>
    <w:p>
      <w:pPr>
        <w:ind w:left="1120" w:right="240" w:hanging="403"/>
        <w:spacing w:after="0" w:line="246"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3,457,199 shares of common stock reserved for future issuance under our 2021 Equity Incentive Plan, or the 2021 Plan, as of March 31, 2026, and any additional automatic increases in the number of shares of common stock reserved for issuance under the 2021 Plan;</w:t>
      </w:r>
    </w:p>
    <w:p>
      <w:pPr>
        <w:spacing w:after="0" w:line="6" w:lineRule="exact"/>
        <w:rPr>
          <w:rFonts w:ascii="MS PGothic" w:cs="MS PGothic" w:eastAsia="MS PGothic" w:hAnsi="MS PGothic"/>
          <w:sz w:val="13"/>
          <w:szCs w:val="13"/>
          <w:color w:val="auto"/>
        </w:rPr>
      </w:pPr>
    </w:p>
    <w:p>
      <w:pPr>
        <w:ind w:left="1120" w:right="380" w:hanging="403"/>
        <w:spacing w:after="0" w:line="249"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2,214,442 shares of common stock reserved for future issuance under our 2021 Employee Stock Purchase Plan, or the 2021 ESPP, as of March 31, 2026, and any additional automatic increases in the number of shares of common stock reserved for issuance under the 2021 ESPP; and</w:t>
      </w: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0940"/>
          </w:cols>
          <w:pgMar w:left="320" w:top="455"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058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20" w:right="20" w:hanging="403"/>
        <w:spacing w:after="0" w:line="249"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9,481,000 shares of common stock and 2,106,000 shares of common stock issuable upon the exercise of pre-funded warrants, at an exercise price of $0.0001 per share, which shares of common stock and pre-funded warrants we issued and sold to investors in a private placement subsequent to March 31, 2026, which we refer to as our April 2026 Private Placement.</w:t>
      </w:r>
    </w:p>
    <w:p>
      <w:pPr>
        <w:spacing w:after="0" w:line="121" w:lineRule="exact"/>
        <w:rPr>
          <w:sz w:val="20"/>
          <w:szCs w:val="20"/>
          <w:color w:val="auto"/>
        </w:rPr>
      </w:pPr>
    </w:p>
    <w:p>
      <w:pPr>
        <w:ind w:left="300"/>
        <w:spacing w:after="0" w:line="249" w:lineRule="auto"/>
        <w:rPr>
          <w:sz w:val="20"/>
          <w:szCs w:val="20"/>
          <w:color w:val="auto"/>
        </w:rPr>
      </w:pPr>
      <w:r>
        <w:rPr>
          <w:rFonts w:ascii="Arial" w:cs="Arial" w:eastAsia="Arial" w:hAnsi="Arial"/>
          <w:sz w:val="17"/>
          <w:szCs w:val="17"/>
          <w:color w:val="auto"/>
        </w:rPr>
        <w:t>Unless otherwise indicated, all information in this prospectus supplement assumes no exercise of the outstanding options or pre-funded warrants, vesting and settlement of the restricted stock units or issuance and sale of shares of common stock and pre-funded warrants in our April 2026 Private Placement described above.</w:t>
      </w: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1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An investment in our common stock involves a high degree of risk. Before deciding whether to invest in our common stock, you should consider carefully the risks and uncertainties described below and under the section captioned “Risk Factors” contained in our most recent Annual Report on Form 10-K, Quarterly Report on Form 10-Q and other filings we make with the SEC from time to time, which are incorporated by reference herein in their entirety, together with other information in this prospectus supplement and the accompanying prospectus, and in any prospectus supplement or free writing prospectus that we authorize for use in connection with this offering. If any of these risks actually occurs, our business, financial condition, results of operations or cash flow could suffer materially. In such event, the trading price of our common stock could decline and you might lose all or part of your investment.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may suffer immediate dilution of your investment.</w:t>
      </w:r>
    </w:p>
    <w:p>
      <w:pPr>
        <w:spacing w:after="0" w:line="3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shares sold in this offering, if any, will be sold from time to time at various prices. However, the expected offering price of our common stock is substantially higher than the net tangible book value per share of our common stock. Therefore, if you purchase shares of our common stock in this offering, you may pay a price per share that substantially exceeds our net tangible book value per share after this offering. After giving effect to the sale of shares of our common stock in the aggregate amount of $100,000,000 at an assumed offering price of $10.91 per share, the last reported sale price of our common stock on the Nasdaq Global Market on June 11, 2026, after deducting commissions and estimated aggregate offering expenses payable by us, you would experience immediate dilution of $5.67 per share, representing the difference between our pro forma as adjusted net tangible book value per share as of March 31, 2026 after giving effect to this offering and the assumed offering price. See “Dilution” in this prospectus supplement for a more detailed illustration of the dilution you may experience if you participate in this offering.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You may experience future dilution as a result of future equity offerings.</w:t>
      </w:r>
    </w:p>
    <w:p>
      <w:pPr>
        <w:spacing w:after="0" w:line="39"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33" w:lineRule="exact"/>
        <w:rPr>
          <w:sz w:val="20"/>
          <w:szCs w:val="20"/>
          <w:color w:val="auto"/>
        </w:rPr>
      </w:pPr>
    </w:p>
    <w:p>
      <w:pPr>
        <w:ind w:left="120" w:right="80"/>
        <w:spacing w:after="0" w:line="258" w:lineRule="auto"/>
        <w:rPr>
          <w:sz w:val="20"/>
          <w:szCs w:val="20"/>
          <w:color w:val="auto"/>
        </w:rPr>
      </w:pPr>
      <w:r>
        <w:rPr>
          <w:rFonts w:ascii="Arial" w:cs="Arial" w:eastAsia="Arial" w:hAnsi="Arial"/>
          <w:sz w:val="17"/>
          <w:szCs w:val="17"/>
          <w:b w:val="1"/>
          <w:bCs w:val="1"/>
          <w:i w:val="1"/>
          <w:iCs w:val="1"/>
          <w:color w:val="auto"/>
        </w:rPr>
        <w:t>We have broad discretion over the use of our cash, cash equivalents and marketable securities, including the net proceeds we receive in this offering, and may not use them effectively.</w:t>
      </w:r>
    </w:p>
    <w:p>
      <w:pPr>
        <w:spacing w:after="0" w:line="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management will have broad discretion over the allocation of the net proceeds from this offering and could spend the proceeds in ways that do not improve our results of operations or enhance the value of our common stock. You will not have the opportunity to influence our decisions on how to use our net proceeds from this offering.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cash, cash equivalents and marketable securities, including the net proceeds we receive in this offering, in a manner that does not produce income or that loses value. See “Use of Proceeds” in this prospectus supplement for further information.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It is not possible to predict the aggregate proceeds resulting from sales made under the Sales Agreement.</w:t>
      </w:r>
    </w:p>
    <w:p>
      <w:pPr>
        <w:spacing w:after="0" w:line="3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Subject to certain limitations in the Sales Agreement and compliance with applicable law, we have the discretion to deliver a placement notice to Jefferies at any time throughout the term of the Sales Agreement. The number of shares that are sold through Jefferies after delivering a placement notice will fluctuate based on a number of factors, including the market price of our common stock during the sales period, any limits we may set with Jefferies in any applicable placement notice and the demand for our common stock. As such, it is not possible to predict the number of shares to be sold pursuant to the Sales Agreement. Because the price per share of each share sold pursuant to the Sales Agreement will fluctuate based on the market price of our common stock during the sales period, it is not currently possible to predict the aggregate proceeds to be raised in connection with sales under the Sales Agreement.</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58" w:lineRule="auto"/>
        <w:rPr>
          <w:sz w:val="20"/>
          <w:szCs w:val="20"/>
          <w:color w:val="auto"/>
        </w:rPr>
      </w:pPr>
      <w:r>
        <w:rPr>
          <w:rFonts w:ascii="Arial" w:cs="Arial" w:eastAsia="Arial" w:hAnsi="Arial"/>
          <w:sz w:val="17"/>
          <w:szCs w:val="17"/>
          <w:b w:val="1"/>
          <w:bCs w:val="1"/>
          <w:i w:val="1"/>
          <w:iCs w:val="1"/>
          <w:color w:val="auto"/>
        </w:rPr>
        <w:t>The common stock offered hereby will be sold in “at the market offerings,” and investors who buy shares at different times will likely pay different prices.</w:t>
      </w:r>
    </w:p>
    <w:p>
      <w:pPr>
        <w:spacing w:after="0" w:line="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46" w:lineRule="exact"/>
        <w:rPr>
          <w:sz w:val="20"/>
          <w:szCs w:val="20"/>
          <w:color w:val="auto"/>
        </w:rPr>
      </w:pPr>
    </w:p>
    <w:p>
      <w:pPr>
        <w:ind w:left="120" w:right="2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the sole source of gain associated with investment in our common stock.</w:t>
      </w:r>
    </w:p>
    <w:p>
      <w:pPr>
        <w:spacing w:after="0" w:line="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associated with investment in our common stock for the foreseeable future.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020"/>
          </w:cols>
          <w:pgMar w:left="320" w:top="455"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may issue and sell shares of our common stock having aggregate gross sales proceeds of up to $100,000,000 from time to time (before deducting sales agent commissions and expenses). Because there is no minimum offering amount required under the Sales Agreement, the actual total public offering amount, commissions and proceeds to us, if any, are not determinable at this time. There can be no assurance that we will sell any shares under or fully utilize the Sales Agreement as a source of financing.</w:t>
      </w:r>
    </w:p>
    <w:p>
      <w:pPr>
        <w:spacing w:after="0" w:line="123"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color w:val="auto"/>
        </w:rPr>
        <w:t>We intend to use the net proceeds to us from this offering primarily for general corporate purposes, which may include working capital and capital expenditures, expenses related to research, clinical development and commercial efforts, general and administrative expenses, and potential acquisitions of, or investments in, companies, technologies, products or assets that complement our business.</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business conditions, which could change in the future as our plans and business conditions evolve. The amounts and timing of our actual use of the net proceeds from this offering may vary significantly depending on numerous factors, including the scope, progress, costs and results of our research and development efforts, as well as any collaborations that we may enter into with third parties for our product candidates and any unforeseen cash needs. As of the date of this prospectus supplement, we cannot specify with certainty all of the particular uses for the net proceeds to us from this offering. Accordingly, our management will have broad discretion over the allocation of the net proceeds from this offering.</w:t>
      </w:r>
    </w:p>
    <w:p>
      <w:pPr>
        <w:spacing w:after="0" w:line="12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Pending use of the proceeds as described above, we intend to invest the net proceeds in a variety of capital preservation investments, including short-term, investment-grade, interest-bearing instruments and U.S. government securities, or may hold such proceeds as cash.</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If you invest in our common stock in this offering, your ownership interest will be diluted to the extent of the difference between the price per share you pay in this offering and the pro forma as adjusted net tangible book value per share of our common stock after this offering.</w:t>
      </w:r>
    </w:p>
    <w:p>
      <w:pPr>
        <w:spacing w:after="0" w:line="105"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color w:val="auto"/>
        </w:rPr>
        <w:t>Our historical net tangible book value as of March 31, 2026 was $148.1 million, or $3.10 per share of common stock. Our historical net tangible book value is the amount of our total tangible assets less our total liabilities. Historical net tangible book value per share represents historical net tangible book value divided by the 47,768,543 shares of our common stock outstanding as of March 31, 2026.</w:t>
      </w:r>
    </w:p>
    <w:p>
      <w:pPr>
        <w:spacing w:after="0" w:line="12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Our pro forma net tangible book value as of March 31, 2026 was $251.5 million, or $4.39 per share of common stock. Pro forma net tangible book value is the amount of our total tangible assets less our total liabilities, after giving effect to our sale of an aggregate of 9,481,000 shares of common stock and pre-funded warrants to purchase 2,106,000 shares of common stock for aggregate net proceeds of approximately</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$103.4 million after deducting placement agent fees and offering expenses in our April 2026 Private Placement (and assuming no exercise of such pre-funded warrants). Pro forma net tangible book value per share represents pro forma net tangible book value divided by the total number of shares outstanding as of March 31, 2026, after giving effect to our April 2026 Private Placement (and assuming no exercise of pre-funded warrants).</w:t>
      </w:r>
    </w:p>
    <w:p>
      <w:pPr>
        <w:spacing w:after="0" w:line="127"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After giving further effect to the assumed sale of shares of our common stock in the aggregate amount of $100,000,000 in this offering at an assumed offering price of $10.91 per share, the last reported sale price of our common stock on the Nasdaq Global Market on June 11, 2026, and after deducting commissions and estimated offering expenses payable by us, our pro forma as adjusted net tangible book value as of March 31, 2026 would have been $348.1 million, or $5.24 per share of common stock. This represents an immediate increase in pro forma as adjusted net tangible book value of $0.85 per share to our existing stockholders and an immediate dilution of $5.67 per share to investors in this offering. Dilution per share to investors is determined by subtracting pro forma as adjusted net tangible book value per share after this offering from the public offering price per share paid by investors. The following table illustrates this calculation on a per share basis. The as adjusted information is illustrative only and will adjust based on the actual price to the public, the actual number of shares sold and other terms of the offering determined at the time our shares are sold pursuant to this prospectus supplement and the accompanying prospectus. The shares sold in this offering, if any, will be sold from time to time at various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Assumed public offering price per share</w:t>
            </w:r>
          </w:p>
        </w:tc>
        <w:tc>
          <w:tcPr>
            <w:tcW w:w="272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$10.91</w:t>
            </w:r>
          </w:p>
        </w:tc>
      </w:tr>
      <w:tr>
        <w:trPr>
          <w:trHeight w:val="189"/>
        </w:trPr>
        <w:tc>
          <w:tcPr>
            <w:tcW w:w="8300" w:type="dxa"/>
            <w:vAlign w:val="bottom"/>
          </w:tcPr>
          <w:p>
            <w:pPr>
              <w:ind w:left="500"/>
              <w:spacing w:after="0" w:line="189" w:lineRule="exact"/>
              <w:rPr>
                <w:sz w:val="20"/>
                <w:szCs w:val="20"/>
                <w:color w:val="auto"/>
              </w:rPr>
            </w:pPr>
            <w:r>
              <w:rPr>
                <w:rFonts w:ascii="Arial" w:cs="Arial" w:eastAsia="Arial" w:hAnsi="Arial"/>
                <w:sz w:val="17"/>
                <w:szCs w:val="17"/>
                <w:color w:val="auto"/>
              </w:rPr>
              <w:t>Historical net tangible book value per share as of March 31, 2026</w:t>
            </w:r>
          </w:p>
        </w:tc>
        <w:tc>
          <w:tcPr>
            <w:tcW w:w="2000" w:type="dxa"/>
            <w:vAlign w:val="bottom"/>
            <w:gridSpan w:val="3"/>
          </w:tcPr>
          <w:p>
            <w:pPr>
              <w:ind w:left="1380"/>
              <w:spacing w:after="0" w:line="189" w:lineRule="exact"/>
              <w:rPr>
                <w:sz w:val="20"/>
                <w:szCs w:val="20"/>
                <w:color w:val="auto"/>
              </w:rPr>
            </w:pPr>
            <w:r>
              <w:rPr>
                <w:rFonts w:ascii="Arial" w:cs="Arial" w:eastAsia="Arial" w:hAnsi="Arial"/>
                <w:sz w:val="17"/>
                <w:szCs w:val="17"/>
                <w:color w:val="auto"/>
              </w:rPr>
              <w:t>$ 3.10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7"/>
        </w:trPr>
        <w:tc>
          <w:tcPr>
            <w:tcW w:w="8300" w:type="dxa"/>
            <w:vAlign w:val="bottom"/>
            <w:shd w:val="clear" w:color="auto" w:fill="CCEEFF"/>
          </w:tcPr>
          <w:p>
            <w:pPr>
              <w:ind w:left="500"/>
              <w:spacing w:after="0" w:line="167" w:lineRule="exact"/>
              <w:rPr>
                <w:sz w:val="20"/>
                <w:szCs w:val="20"/>
                <w:color w:val="auto"/>
              </w:rPr>
            </w:pPr>
            <w:r>
              <w:rPr>
                <w:rFonts w:ascii="Arial" w:cs="Arial" w:eastAsia="Arial" w:hAnsi="Arial"/>
                <w:sz w:val="17"/>
                <w:szCs w:val="17"/>
                <w:color w:val="auto"/>
              </w:rPr>
              <w:t>Increase in net tangible book value per share attributable to the pro forma adjustment</w:t>
            </w:r>
          </w:p>
        </w:tc>
        <w:tc>
          <w:tcPr>
            <w:tcW w:w="1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25"/>
        </w:trPr>
        <w:tc>
          <w:tcPr>
            <w:tcW w:w="83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described above</w:t>
            </w:r>
          </w:p>
        </w:tc>
        <w:tc>
          <w:tcPr>
            <w:tcW w:w="2000" w:type="dxa"/>
            <w:vAlign w:val="bottom"/>
            <w:gridSpan w:val="3"/>
            <w:shd w:val="clear" w:color="auto" w:fill="CCEEFF"/>
          </w:tcPr>
          <w:p>
            <w:pPr>
              <w:ind w:left="1380"/>
              <w:spacing w:after="0"/>
              <w:rPr>
                <w:sz w:val="20"/>
                <w:szCs w:val="20"/>
                <w:color w:val="auto"/>
              </w:rPr>
            </w:pPr>
            <w:r>
              <w:rPr>
                <w:rFonts w:ascii="Arial" w:cs="Arial" w:eastAsia="Arial" w:hAnsi="Arial"/>
                <w:sz w:val="17"/>
                <w:szCs w:val="17"/>
                <w:color w:val="auto"/>
              </w:rPr>
              <w:t>$ 1.29</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6"/>
        </w:trPr>
        <w:tc>
          <w:tcPr>
            <w:tcW w:w="8300" w:type="dxa"/>
            <w:vAlign w:val="bottom"/>
          </w:tcPr>
          <w:p>
            <w:pPr>
              <w:ind w:left="500"/>
              <w:spacing w:after="0"/>
              <w:rPr>
                <w:sz w:val="20"/>
                <w:szCs w:val="20"/>
                <w:color w:val="auto"/>
              </w:rPr>
            </w:pPr>
            <w:r>
              <w:rPr>
                <w:rFonts w:ascii="Arial" w:cs="Arial" w:eastAsia="Arial" w:hAnsi="Arial"/>
                <w:sz w:val="17"/>
                <w:szCs w:val="17"/>
                <w:color w:val="auto"/>
              </w:rPr>
              <w:t>Pro forma net tangible book value per share as of March 31, 2026</w:t>
            </w:r>
          </w:p>
        </w:tc>
        <w:tc>
          <w:tcPr>
            <w:tcW w:w="1380" w:type="dxa"/>
            <w:vAlign w:val="bottom"/>
          </w:tcPr>
          <w:p>
            <w:pPr>
              <w:spacing w:after="0"/>
              <w:rPr>
                <w:sz w:val="17"/>
                <w:szCs w:val="17"/>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2"/>
              </w:rPr>
              <w:t>$ 4.39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7"/>
        </w:trPr>
        <w:tc>
          <w:tcPr>
            <w:tcW w:w="8300" w:type="dxa"/>
            <w:vAlign w:val="bottom"/>
            <w:shd w:val="clear" w:color="auto" w:fill="CCEEFF"/>
          </w:tcPr>
          <w:p>
            <w:pPr>
              <w:ind w:left="500"/>
              <w:spacing w:after="0" w:line="167" w:lineRule="exact"/>
              <w:rPr>
                <w:sz w:val="20"/>
                <w:szCs w:val="20"/>
                <w:color w:val="auto"/>
              </w:rPr>
            </w:pPr>
            <w:r>
              <w:rPr>
                <w:rFonts w:ascii="Arial" w:cs="Arial" w:eastAsia="Arial" w:hAnsi="Arial"/>
                <w:sz w:val="17"/>
                <w:szCs w:val="17"/>
                <w:color w:val="auto"/>
              </w:rPr>
              <w:t>Increase in pro forma net tangible book value per share attributable to investors</w:t>
            </w:r>
          </w:p>
        </w:tc>
        <w:tc>
          <w:tcPr>
            <w:tcW w:w="1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1"/>
        </w:trPr>
        <w:tc>
          <w:tcPr>
            <w:tcW w:w="83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purchasing shares in this offering</w:t>
            </w:r>
          </w:p>
        </w:tc>
        <w:tc>
          <w:tcPr>
            <w:tcW w:w="2000" w:type="dxa"/>
            <w:vAlign w:val="bottom"/>
            <w:gridSpan w:val="3"/>
            <w:shd w:val="clear" w:color="auto" w:fill="CCEEFF"/>
          </w:tcPr>
          <w:p>
            <w:pPr>
              <w:ind w:left="1380"/>
              <w:spacing w:after="0"/>
              <w:rPr>
                <w:sz w:val="20"/>
                <w:szCs w:val="20"/>
                <w:color w:val="auto"/>
              </w:rPr>
            </w:pPr>
            <w:r>
              <w:rPr>
                <w:rFonts w:ascii="Arial" w:cs="Arial" w:eastAsia="Arial" w:hAnsi="Arial"/>
                <w:sz w:val="17"/>
                <w:szCs w:val="17"/>
                <w:color w:val="auto"/>
              </w:rPr>
              <w:t>$ 0.85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4"/>
        </w:trPr>
        <w:tc>
          <w:tcPr>
            <w:tcW w:w="8300" w:type="dxa"/>
            <w:vAlign w:val="bottom"/>
          </w:tcPr>
          <w:p>
            <w:pPr>
              <w:ind w:left="500"/>
              <w:spacing w:after="0" w:line="174" w:lineRule="exact"/>
              <w:rPr>
                <w:sz w:val="20"/>
                <w:szCs w:val="20"/>
                <w:color w:val="auto"/>
              </w:rPr>
            </w:pPr>
            <w:r>
              <w:rPr>
                <w:rFonts w:ascii="Arial" w:cs="Arial" w:eastAsia="Arial" w:hAnsi="Arial"/>
                <w:sz w:val="17"/>
                <w:szCs w:val="17"/>
                <w:color w:val="auto"/>
              </w:rPr>
              <w:t>Pro forma as adjusted net tangible book value per share as of March 31, 2026 after</w:t>
            </w:r>
          </w:p>
        </w:tc>
        <w:tc>
          <w:tcPr>
            <w:tcW w:w="13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1"/>
        </w:trPr>
        <w:tc>
          <w:tcPr>
            <w:tcW w:w="8300" w:type="dxa"/>
            <w:vAlign w:val="bottom"/>
          </w:tcPr>
          <w:p>
            <w:pPr>
              <w:ind w:left="760"/>
              <w:spacing w:after="0"/>
              <w:rPr>
                <w:sz w:val="20"/>
                <w:szCs w:val="20"/>
                <w:color w:val="auto"/>
              </w:rPr>
            </w:pPr>
            <w:r>
              <w:rPr>
                <w:rFonts w:ascii="Arial" w:cs="Arial" w:eastAsia="Arial" w:hAnsi="Arial"/>
                <w:sz w:val="17"/>
                <w:szCs w:val="17"/>
                <w:color w:val="auto"/>
              </w:rPr>
              <w:t>giving effect to this offering</w:t>
            </w:r>
          </w:p>
        </w:tc>
        <w:tc>
          <w:tcPr>
            <w:tcW w:w="2000" w:type="dxa"/>
            <w:vAlign w:val="bottom"/>
            <w:gridSpan w:val="3"/>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$5.24</w:t>
            </w:r>
          </w:p>
        </w:tc>
      </w:tr>
      <w:tr>
        <w:trPr>
          <w:trHeight w:val="27"/>
        </w:trPr>
        <w:tc>
          <w:tcPr>
            <w:tcW w:w="8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8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investors in this offering</w:t>
            </w:r>
          </w:p>
        </w:tc>
        <w:tc>
          <w:tcPr>
            <w:tcW w:w="2000" w:type="dxa"/>
            <w:vAlign w:val="bottom"/>
            <w:gridSpan w:val="3"/>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$5.67</w:t>
            </w:r>
          </w:p>
        </w:tc>
      </w:tr>
      <w:tr>
        <w:trPr>
          <w:trHeight w:val="20"/>
        </w:trPr>
        <w:tc>
          <w:tcPr>
            <w:tcW w:w="8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4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table and discussion above are based on 47,768,543 shares of common stock outstanding as of March 31, 2026, and excludes:</w:t>
      </w:r>
    </w:p>
    <w:p>
      <w:pPr>
        <w:spacing w:after="0" w:line="196" w:lineRule="exact"/>
        <w:rPr>
          <w:sz w:val="20"/>
          <w:szCs w:val="20"/>
          <w:color w:val="auto"/>
        </w:rPr>
      </w:pPr>
    </w:p>
    <w:p>
      <w:pPr>
        <w:ind w:left="980" w:right="120" w:hanging="432"/>
        <w:spacing w:after="0" w:line="253"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8,481,645 shares of common stock issuable upon exercise of stock options outstanding as of March 31, 2026, at a weighted-average exercise price of $3.15 per share;</w:t>
      </w:r>
    </w:p>
    <w:p>
      <w:pPr>
        <w:spacing w:after="0" w:line="6" w:lineRule="exact"/>
        <w:rPr>
          <w:rFonts w:ascii="MS PGothic" w:cs="MS PGothic" w:eastAsia="MS PGothic" w:hAnsi="MS PGothic"/>
          <w:sz w:val="13"/>
          <w:szCs w:val="13"/>
          <w:color w:val="auto"/>
        </w:rPr>
      </w:pPr>
    </w:p>
    <w:p>
      <w:pPr>
        <w:ind w:left="980" w:hanging="432"/>
        <w:spacing w:after="0"/>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207,775 shares of common stock issuable upon vesting and settlement of outstanding restricted stock units as of March 31, 2026;</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hanging="432"/>
        <w:spacing w:after="0" w:line="253"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20,440,000 shares of our common stock issuable upon the exercise of pre-funded warrants outstanding as of March 31, 2026, at an exercise price of $0.0001 per share;</w:t>
      </w:r>
    </w:p>
    <w:p>
      <w:pPr>
        <w:spacing w:after="0" w:line="6" w:lineRule="exact"/>
        <w:rPr>
          <w:rFonts w:ascii="MS PGothic" w:cs="MS PGothic" w:eastAsia="MS PGothic" w:hAnsi="MS PGothic"/>
          <w:sz w:val="13"/>
          <w:szCs w:val="13"/>
          <w:color w:val="auto"/>
        </w:rPr>
      </w:pPr>
    </w:p>
    <w:p>
      <w:pPr>
        <w:ind w:left="980" w:right="340" w:hanging="432"/>
        <w:spacing w:after="0" w:line="253"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3,457,199 shares of common stock reserved for future issuance under the 2021 Plan, as of March 31, 2026, and any additional automatic increases in the number of shares of common stock reserved for issuance under the 2021 Plan; and</w:t>
      </w:r>
    </w:p>
    <w:p>
      <w:pPr>
        <w:spacing w:after="0" w:line="6" w:lineRule="exact"/>
        <w:rPr>
          <w:rFonts w:ascii="MS PGothic" w:cs="MS PGothic" w:eastAsia="MS PGothic" w:hAnsi="MS PGothic"/>
          <w:sz w:val="13"/>
          <w:szCs w:val="13"/>
          <w:color w:val="auto"/>
        </w:rPr>
      </w:pPr>
    </w:p>
    <w:p>
      <w:pPr>
        <w:ind w:left="980" w:right="260" w:hanging="432"/>
        <w:spacing w:after="0" w:line="267"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2,214,442 shares of common stock reserved for future issuance under the 2021 ESPP, as of March 31, 2026, and any additional automatic increases in the number of shares of common stock reserved for issuance under the 2021 ESPP.</w:t>
      </w:r>
    </w:p>
    <w:p>
      <w:pPr>
        <w:spacing w:after="0" w:line="105"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If any additional shares are issued, including in connection with the exercise of options or pre-funded warrants or the vesting and settlement of restricted stock units, you may experience further dilution.</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20" w:right="100"/>
        <w:spacing w:after="0" w:line="241" w:lineRule="auto"/>
        <w:rPr>
          <w:sz w:val="20"/>
          <w:szCs w:val="20"/>
          <w:color w:val="auto"/>
        </w:rPr>
      </w:pPr>
      <w:r>
        <w:rPr>
          <w:rFonts w:ascii="Arial" w:cs="Arial" w:eastAsia="Arial" w:hAnsi="Arial"/>
          <w:sz w:val="17"/>
          <w:szCs w:val="17"/>
          <w:color w:val="auto"/>
        </w:rPr>
        <w:t>We have entered into a sales agreement, dated as of June 12, 2026, with Jefferies, relating to the sale of shares of our common stock. In accordance with the terms of the Sales Agreement, under this prospectus supplement we may offer and sell shares of our common stock having an aggregate offering price of up to $100,000,000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26"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2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2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$400,000. The remaining sale proceeds, after deducting any other transaction fees, will equal our net proceeds from the sale of such shares.</w:t>
      </w:r>
    </w:p>
    <w:p>
      <w:pPr>
        <w:spacing w:after="0" w:line="128" w:lineRule="exact"/>
        <w:rPr>
          <w:sz w:val="20"/>
          <w:szCs w:val="20"/>
          <w:color w:val="auto"/>
        </w:rPr>
      </w:pPr>
    </w:p>
    <w:p>
      <w:pPr>
        <w:ind w:left="120" w:right="220"/>
        <w:spacing w:after="0" w:line="249"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day following each day on which shares of our common stock are sold under the Sales Agreement. Each confirmation will include the number of shares sold on that day, the aggregate gross proceeds of such sales and the proceeds to us.</w:t>
      </w:r>
    </w:p>
    <w:p>
      <w:pPr>
        <w:spacing w:after="0" w:line="121"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23"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color w:val="auto"/>
        </w:rPr>
        <w:t>The offering of our shares of common stock pursuant to the Sales Agreement will terminate upon the earlier of (1) the sale of all shares of common stock subject to the Sales Agreement and (2) the termination of the Sales Agreement as permitted therein. We and Jefferies may each terminate the Sales Agreement at any time upon ten trading days’ prior notice.</w:t>
      </w:r>
    </w:p>
    <w:p>
      <w:pPr>
        <w:spacing w:after="0" w:line="121" w:lineRule="exact"/>
        <w:rPr>
          <w:sz w:val="20"/>
          <w:szCs w:val="20"/>
          <w:color w:val="auto"/>
        </w:rPr>
      </w:pPr>
    </w:p>
    <w:p>
      <w:pPr>
        <w:ind w:left="120" w:right="80"/>
        <w:spacing w:after="0" w:line="249"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is filed as an exhibit to a current report on Form 8-K filed under the Exchange Act and incorporated by reference in this prospectus supplement.</w:t>
      </w:r>
    </w:p>
    <w:p>
      <w:pPr>
        <w:spacing w:after="0" w:line="121" w:lineRule="exact"/>
        <w:rPr>
          <w:sz w:val="20"/>
          <w:szCs w:val="20"/>
          <w:color w:val="auto"/>
        </w:rPr>
      </w:pPr>
    </w:p>
    <w:p>
      <w:pPr>
        <w:ind w:left="120" w:right="260"/>
        <w:spacing w:after="0" w:line="244" w:lineRule="auto"/>
        <w:rPr>
          <w:sz w:val="20"/>
          <w:szCs w:val="20"/>
          <w:color w:val="auto"/>
        </w:rPr>
      </w:pPr>
      <w:r>
        <w:rPr>
          <w:rFonts w:ascii="Arial" w:cs="Arial" w:eastAsia="Arial" w:hAnsi="Arial"/>
          <w:sz w:val="17"/>
          <w:szCs w:val="17"/>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This prospectus supplement and the accompanying prospectus in electronic format may be made available on a website maintained by Jefferies, and Jefferies may distribute this prospectus supplement and the accompanying prospectus electronically.</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060"/>
          </w:cols>
          <w:pgMar w:left="320" w:top="455"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validity of the shares of common stock offered hereby will be passed upon for us by Wilmer Cutler Pickering Hale and Dorr LLP, New York, New York. Jefferies is being represented in connection with this offering by Paul Hastings LLP, New York, New York.</w:t>
      </w: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The financial statements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0900"/>
          </w:cols>
          <w:pgMar w:left="320" w:top="455"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www.climbbio.com. Our website is not a part of this prospectus supplement and information contained on, or that can be accessed through, our website is not incorporated by reference in this prospectus supplement.</w:t>
      </w:r>
    </w:p>
    <w:p>
      <w:pPr>
        <w:spacing w:after="0" w:line="12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This prospectus supplement and the accompanying prospectus are part of a registration statement we filed with the SEC. This prospectus supplement and the accompanying prospectus omit some information contained in the registration statement in accordance with SEC rules and regulations. You should review the information and exhibits in the registration statement for further information about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S-16</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SEC allows us to incorporate by reference in this prospectus supplement and the accompanying prospectus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are continually updated and those future filings may modify or supersede some of the information included or incorporated by reference in this prospectus supplement and the accompanying prospectus. This means that you must look at all of the SEC filings that we incorporate by reference to determine if any of the statements in this prospectus supplement and the accompanying prospectus or in any document previously incorporated by reference herein and therein have been modified or superseded. This prospectus supplement and the accompanying prospectus incorporate by reference the documents listed below (File No. 001-40708)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167" w:lineRule="exact"/>
        <w:rPr>
          <w:sz w:val="20"/>
          <w:szCs w:val="20"/>
          <w:color w:val="auto"/>
        </w:rPr>
      </w:pPr>
    </w:p>
    <w:p>
      <w:pPr>
        <w:jc w:val="both"/>
        <w:ind w:left="980" w:right="280" w:hanging="432"/>
        <w:spacing w:after="0" w:line="24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Annual Report on </w:t>
      </w:r>
      <w:hyperlink r:id="rId3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fiscal year ended December 31, 2025, as filed with the SEC on March 5, 2026, including the information specifically incorporated by reference into the Annual Report on Form 10-K from our definitive </w:t>
      </w:r>
      <w:hyperlink r:id="rId34">
        <w:r>
          <w:rPr>
            <w:rFonts w:ascii="Arial" w:cs="Arial" w:eastAsia="Arial" w:hAnsi="Arial"/>
            <w:sz w:val="17"/>
            <w:szCs w:val="17"/>
            <w:u w:val="single" w:color="auto"/>
            <w:color w:val="0000EE"/>
          </w:rPr>
          <w:t>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2026 Annual Meeting of Stockholders, as filed with the SEC on April 24, 2026;</w:t>
      </w:r>
    </w:p>
    <w:p>
      <w:pPr>
        <w:spacing w:after="0" w:line="6" w:lineRule="exact"/>
        <w:rPr>
          <w:rFonts w:ascii="Arial" w:cs="Arial" w:eastAsia="Arial" w:hAnsi="Arial"/>
          <w:sz w:val="17"/>
          <w:szCs w:val="17"/>
          <w:color w:val="auto"/>
        </w:rPr>
      </w:pPr>
    </w:p>
    <w:p>
      <w:pPr>
        <w:ind w:left="980" w:hanging="432"/>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Quarterly Report on </w:t>
      </w:r>
      <w:hyperlink r:id="rId35">
        <w:r>
          <w:rPr>
            <w:rFonts w:ascii="Arial" w:cs="Arial" w:eastAsia="Arial" w:hAnsi="Arial"/>
            <w:sz w:val="17"/>
            <w:szCs w:val="17"/>
            <w:u w:val="single" w:color="auto"/>
            <w:color w:val="0000EE"/>
          </w:rPr>
          <w:t>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quarterly period ended March 31, 2026, as filed with the SEC on May 7, 2026;</w:t>
      </w:r>
    </w:p>
    <w:p>
      <w:pPr>
        <w:spacing w:after="0" w:line="34" w:lineRule="exact"/>
        <w:rPr>
          <w:rFonts w:ascii="Arial" w:cs="Arial" w:eastAsia="Arial" w:hAnsi="Arial"/>
          <w:sz w:val="17"/>
          <w:szCs w:val="17"/>
          <w:color w:val="auto"/>
        </w:rPr>
      </w:pPr>
    </w:p>
    <w:p>
      <w:pPr>
        <w:ind w:left="980" w:right="340" w:hanging="432"/>
        <w:spacing w:after="0" w:line="253" w:lineRule="auto"/>
        <w:tabs>
          <w:tab w:leader="none" w:pos="980" w:val="left"/>
        </w:tabs>
        <w:numPr>
          <w:ilvl w:val="0"/>
          <w:numId w:val="7"/>
        </w:numPr>
        <w:rPr>
          <w:rFonts w:ascii="Arial" w:cs="Arial" w:eastAsia="Arial" w:hAnsi="Arial"/>
          <w:sz w:val="17"/>
          <w:szCs w:val="17"/>
          <w:color w:val="0000EE"/>
        </w:rPr>
      </w:pPr>
      <w:hyperlink r:id="rId36">
        <w:r>
          <w:rPr>
            <w:rFonts w:ascii="Arial" w:cs="Arial" w:eastAsia="Arial" w:hAnsi="Arial"/>
            <w:sz w:val="17"/>
            <w:szCs w:val="17"/>
            <w:color w:val="auto"/>
          </w:rPr>
          <w:t xml:space="preserve">Current Reports on Form 8-K, as filed with the SEC on </w:t>
        </w:r>
        <w:r>
          <w:rPr>
            <w:rFonts w:ascii="Arial" w:cs="Arial" w:eastAsia="Arial" w:hAnsi="Arial"/>
            <w:sz w:val="17"/>
            <w:szCs w:val="17"/>
            <w:u w:val="single" w:color="auto"/>
            <w:color w:val="0000EE"/>
          </w:rPr>
          <w:t>January 8, 2026</w:t>
        </w:r>
        <w:r>
          <w:rPr>
            <w:rFonts w:ascii="Arial" w:cs="Arial" w:eastAsia="Arial" w:hAnsi="Arial"/>
            <w:sz w:val="17"/>
            <w:szCs w:val="17"/>
            <w:color w:val="auto"/>
          </w:rPr>
          <w:t xml:space="preserve"> (with respect to Item 8.01 only), </w:t>
        </w:r>
        <w:r>
          <w:rPr>
            <w:rFonts w:ascii="Arial" w:cs="Arial" w:eastAsia="Arial" w:hAnsi="Arial"/>
            <w:sz w:val="17"/>
            <w:szCs w:val="17"/>
            <w:u w:val="single" w:color="auto"/>
            <w:color w:val="0000EE"/>
          </w:rPr>
          <w:t>April 3, 2026</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28,</w:t>
        </w:r>
      </w:hyperlink>
      <w:r>
        <w:rPr>
          <w:rFonts w:ascii="Arial" w:cs="Arial" w:eastAsia="Arial" w:hAnsi="Arial"/>
          <w:sz w:val="17"/>
          <w:szCs w:val="17"/>
          <w:color w:val="auto"/>
        </w:rPr>
        <w:t xml:space="preserve"> </w:t>
      </w:r>
      <w:hyperlink r:id="rId36">
        <w:r>
          <w:rPr>
            <w:rFonts w:ascii="Arial" w:cs="Arial" w:eastAsia="Arial" w:hAnsi="Arial"/>
            <w:sz w:val="17"/>
            <w:szCs w:val="17"/>
            <w:u w:val="single" w:color="auto"/>
            <w:color w:val="0000EE"/>
          </w:rPr>
          <w:t>2026</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7">
        <w:r>
          <w:rPr>
            <w:rFonts w:ascii="Arial" w:cs="Arial" w:eastAsia="Arial" w:hAnsi="Arial"/>
            <w:sz w:val="17"/>
            <w:szCs w:val="17"/>
            <w:u w:val="single" w:color="auto"/>
            <w:color w:val="0000EE"/>
          </w:rPr>
          <w:t>June 5, 2026</w:t>
        </w:r>
      </w:hyperlink>
      <w:hyperlink r:id="rId3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8">
        <w:r>
          <w:rPr>
            <w:rFonts w:ascii="Arial" w:cs="Arial" w:eastAsia="Arial" w:hAnsi="Arial"/>
            <w:sz w:val="17"/>
            <w:szCs w:val="17"/>
            <w:u w:val="single" w:color="auto"/>
            <w:color w:val="0000EE"/>
          </w:rPr>
          <w:t xml:space="preserve">June 8, 2026 </w:t>
        </w:r>
      </w:hyperlink>
      <w:hyperlink r:id="rId36">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39">
        <w:r>
          <w:rPr>
            <w:rFonts w:ascii="Arial" w:cs="Arial" w:eastAsia="Arial" w:hAnsi="Arial"/>
            <w:sz w:val="17"/>
            <w:szCs w:val="17"/>
            <w:u w:val="single" w:color="auto"/>
            <w:color w:val="0000EE"/>
          </w:rPr>
          <w:t>June 11, 2026</w:t>
        </w:r>
      </w:hyperlink>
      <w:hyperlink r:id="rId36">
        <w:r>
          <w:rPr>
            <w:rFonts w:ascii="Arial" w:cs="Arial" w:eastAsia="Arial" w:hAnsi="Arial"/>
            <w:sz w:val="17"/>
            <w:szCs w:val="17"/>
            <w:color w:val="000000"/>
          </w:rPr>
          <w:t>; and</w:t>
        </w:r>
      </w:hyperlink>
    </w:p>
    <w:p>
      <w:pPr>
        <w:spacing w:after="0" w:line="6" w:lineRule="exact"/>
        <w:rPr>
          <w:rFonts w:ascii="Arial" w:cs="Arial" w:eastAsia="Arial" w:hAnsi="Arial"/>
          <w:sz w:val="17"/>
          <w:szCs w:val="17"/>
          <w:color w:val="0000EE"/>
        </w:rPr>
      </w:pPr>
    </w:p>
    <w:p>
      <w:pPr>
        <w:ind w:left="980" w:hanging="432"/>
        <w:spacing w:after="0" w:line="244"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40">
        <w:r>
          <w:rPr>
            <w:rFonts w:ascii="Arial" w:cs="Arial" w:eastAsia="Arial" w:hAnsi="Arial"/>
            <w:sz w:val="17"/>
            <w:szCs w:val="17"/>
            <w:u w:val="single" w:color="auto"/>
            <w:color w:val="0000EE"/>
          </w:rPr>
          <w:t>Form 8-A</w:t>
        </w:r>
      </w:hyperlink>
      <w:r>
        <w:rPr>
          <w:rFonts w:ascii="Arial" w:cs="Arial" w:eastAsia="Arial" w:hAnsi="Arial"/>
          <w:sz w:val="17"/>
          <w:szCs w:val="17"/>
          <w:color w:val="auto"/>
        </w:rPr>
        <w:t xml:space="preserve">, as filed with the SEC on August 3, 2021, as the description therein has been updated and superseded by the description of our capital stock contained in </w:t>
      </w:r>
      <w:hyperlink r:id="rId41">
        <w:r>
          <w:rPr>
            <w:rFonts w:ascii="Arial" w:cs="Arial" w:eastAsia="Arial" w:hAnsi="Arial"/>
            <w:sz w:val="17"/>
            <w:szCs w:val="17"/>
            <w:u w:val="single" w:color="auto"/>
            <w:color w:val="0000EE"/>
          </w:rPr>
          <w:t>Exhibit 4.3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our Annual Report on </w:t>
      </w:r>
      <w:hyperlink r:id="rId42">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2024, as filed with the SEC on March 25, 2025, and including any amendments and reports filed for the purpose of updating such description.</w:t>
      </w:r>
    </w:p>
    <w:p>
      <w:pPr>
        <w:spacing w:after="0" w:line="123" w:lineRule="exact"/>
        <w:rPr>
          <w:rFonts w:ascii="Arial" w:cs="Arial" w:eastAsia="Arial" w:hAnsi="Arial"/>
          <w:sz w:val="17"/>
          <w:szCs w:val="17"/>
          <w:color w:val="auto"/>
        </w:rPr>
      </w:pPr>
    </w:p>
    <w:p>
      <w:pPr>
        <w:ind w:left="12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telephone number:</w:t>
      </w:r>
    </w:p>
    <w:p>
      <w:pPr>
        <w:spacing w:after="0" w:line="156" w:lineRule="exact"/>
        <w:rPr>
          <w:rFonts w:ascii="Arial" w:cs="Arial" w:eastAsia="Arial" w:hAnsi="Arial"/>
          <w:sz w:val="17"/>
          <w:szCs w:val="17"/>
          <w:color w:val="auto"/>
        </w:rPr>
      </w:pPr>
    </w:p>
    <w:p>
      <w:pPr>
        <w:jc w:val="center"/>
        <w:ind w:right="-219"/>
        <w:spacing w:after="0"/>
        <w:rPr>
          <w:sz w:val="20"/>
          <w:szCs w:val="20"/>
          <w:color w:val="auto"/>
        </w:rPr>
      </w:pPr>
      <w:r>
        <w:rPr>
          <w:rFonts w:ascii="Arial" w:cs="Arial" w:eastAsia="Arial" w:hAnsi="Arial"/>
          <w:sz w:val="17"/>
          <w:szCs w:val="17"/>
          <w:color w:val="auto"/>
        </w:rPr>
        <w:t>Climb Bio, Inc.</w:t>
      </w:r>
    </w:p>
    <w:p>
      <w:pPr>
        <w:spacing w:after="0" w:line="3" w:lineRule="exact"/>
        <w:rPr>
          <w:rFonts w:ascii="Arial" w:cs="Arial" w:eastAsia="Arial" w:hAnsi="Arial"/>
          <w:sz w:val="17"/>
          <w:szCs w:val="17"/>
          <w:color w:val="auto"/>
        </w:rPr>
      </w:pPr>
    </w:p>
    <w:p>
      <w:pPr>
        <w:jc w:val="center"/>
        <w:ind w:right="-219"/>
        <w:spacing w:after="0"/>
        <w:rPr>
          <w:sz w:val="20"/>
          <w:szCs w:val="20"/>
          <w:color w:val="auto"/>
        </w:rPr>
      </w:pPr>
      <w:r>
        <w:rPr>
          <w:rFonts w:ascii="Arial" w:cs="Arial" w:eastAsia="Arial" w:hAnsi="Arial"/>
          <w:sz w:val="17"/>
          <w:szCs w:val="17"/>
          <w:color w:val="auto"/>
        </w:rPr>
        <w:t>20 William Street, Suite 145</w:t>
      </w:r>
    </w:p>
    <w:p>
      <w:pPr>
        <w:jc w:val="center"/>
        <w:ind w:right="-219"/>
        <w:spacing w:after="0" w:line="232" w:lineRule="auto"/>
        <w:rPr>
          <w:sz w:val="20"/>
          <w:szCs w:val="20"/>
          <w:color w:val="auto"/>
        </w:rPr>
      </w:pPr>
      <w:r>
        <w:rPr>
          <w:rFonts w:ascii="Arial" w:cs="Arial" w:eastAsia="Arial" w:hAnsi="Arial"/>
          <w:sz w:val="17"/>
          <w:szCs w:val="17"/>
          <w:color w:val="auto"/>
        </w:rPr>
        <w:t>Wellesley Hills, Massachusetts 02481</w:t>
      </w:r>
    </w:p>
    <w:p>
      <w:pPr>
        <w:jc w:val="center"/>
        <w:ind w:right="-219"/>
        <w:spacing w:after="0" w:line="232" w:lineRule="auto"/>
        <w:rPr>
          <w:sz w:val="20"/>
          <w:szCs w:val="20"/>
          <w:color w:val="auto"/>
        </w:rPr>
      </w:pPr>
      <w:r>
        <w:rPr>
          <w:rFonts w:ascii="Arial" w:cs="Arial" w:eastAsia="Arial" w:hAnsi="Arial"/>
          <w:sz w:val="17"/>
          <w:szCs w:val="17"/>
          <w:color w:val="auto"/>
        </w:rPr>
        <w:t>Attention: Investor Relations</w:t>
      </w:r>
    </w:p>
    <w:p>
      <w:pPr>
        <w:jc w:val="center"/>
        <w:ind w:right="-219"/>
        <w:spacing w:after="0"/>
        <w:rPr>
          <w:sz w:val="20"/>
          <w:szCs w:val="20"/>
          <w:color w:val="auto"/>
        </w:rPr>
      </w:pPr>
      <w:r>
        <w:rPr>
          <w:rFonts w:ascii="Arial" w:cs="Arial" w:eastAsia="Arial" w:hAnsi="Arial"/>
          <w:sz w:val="17"/>
          <w:szCs w:val="17"/>
          <w:color w:val="auto"/>
        </w:rPr>
        <w:t>(866) 857-2596</w:t>
      </w:r>
    </w:p>
    <w:p>
      <w:pPr>
        <w:spacing w:after="0" w:line="134" w:lineRule="exact"/>
        <w:rPr>
          <w:rFonts w:ascii="Arial" w:cs="Arial" w:eastAsia="Arial" w:hAnsi="Arial"/>
          <w:sz w:val="17"/>
          <w:szCs w:val="17"/>
          <w:color w:val="auto"/>
        </w:rPr>
      </w:pPr>
    </w:p>
    <w:p>
      <w:pPr>
        <w:jc w:val="center"/>
        <w:ind w:right="-219"/>
        <w:spacing w:after="0"/>
        <w:rPr>
          <w:sz w:val="20"/>
          <w:szCs w:val="20"/>
          <w:color w:val="auto"/>
        </w:rPr>
      </w:pPr>
      <w:r>
        <w:rPr>
          <w:rFonts w:ascii="Arial" w:cs="Arial" w:eastAsia="Arial" w:hAnsi="Arial"/>
          <w:sz w:val="16"/>
          <w:szCs w:val="16"/>
          <w:color w:val="auto"/>
        </w:rPr>
        <w:t>S-17</w:t>
      </w:r>
    </w:p>
    <w:p>
      <w:pPr>
        <w:sectPr>
          <w:pgSz w:w="11900" w:h="16838" w:orient="portrait"/>
          <w:cols w:equalWidth="0" w:num="1">
            <w:col w:w="11020"/>
          </w:cols>
          <w:pgMar w:left="320" w:top="455"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$200,000,000</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179705</wp:posOffset>
            </wp:positionV>
            <wp:extent cx="2297430" cy="419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229743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w:t>
      </w:r>
    </w:p>
    <w:p>
      <w:pPr>
        <w:jc w:val="center"/>
        <w:ind w:right="-139"/>
        <w:spacing w:after="0" w:line="234" w:lineRule="auto"/>
        <w:rPr>
          <w:sz w:val="20"/>
          <w:szCs w:val="20"/>
          <w:color w:val="auto"/>
        </w:rPr>
      </w:pPr>
      <w:r>
        <w:rPr>
          <w:rFonts w:ascii="Arial" w:cs="Arial" w:eastAsia="Arial" w:hAnsi="Arial"/>
          <w:sz w:val="18"/>
          <w:szCs w:val="18"/>
          <w:b w:val="1"/>
          <w:bCs w:val="1"/>
          <w:color w:val="auto"/>
        </w:rPr>
        <w:t>Preferred Stock</w:t>
      </w:r>
    </w:p>
    <w:p>
      <w:pPr>
        <w:jc w:val="center"/>
        <w:ind w:right="-139"/>
        <w:spacing w:after="0" w:line="235" w:lineRule="auto"/>
        <w:rPr>
          <w:sz w:val="20"/>
          <w:szCs w:val="20"/>
          <w:color w:val="auto"/>
        </w:rPr>
      </w:pPr>
      <w:r>
        <w:rPr>
          <w:rFonts w:ascii="Arial" w:cs="Arial" w:eastAsia="Arial" w:hAnsi="Arial"/>
          <w:sz w:val="18"/>
          <w:szCs w:val="18"/>
          <w:b w:val="1"/>
          <w:bCs w:val="1"/>
          <w:color w:val="auto"/>
        </w:rPr>
        <w:t>Subscription Rights</w:t>
      </w:r>
    </w:p>
    <w:p>
      <w:pPr>
        <w:jc w:val="center"/>
        <w:ind w:right="-139"/>
        <w:spacing w:after="0" w:line="235" w:lineRule="auto"/>
        <w:rPr>
          <w:sz w:val="20"/>
          <w:szCs w:val="20"/>
          <w:color w:val="auto"/>
        </w:rPr>
      </w:pPr>
      <w:r>
        <w:rPr>
          <w:rFonts w:ascii="Arial" w:cs="Arial" w:eastAsia="Arial" w:hAnsi="Arial"/>
          <w:sz w:val="18"/>
          <w:szCs w:val="18"/>
          <w:b w:val="1"/>
          <w:bCs w:val="1"/>
          <w:color w:val="auto"/>
        </w:rPr>
        <w:t>Units</w:t>
      </w:r>
    </w:p>
    <w:p>
      <w:pPr>
        <w:jc w:val="center"/>
        <w:ind w:right="-139"/>
        <w:spacing w:after="0"/>
        <w:rPr>
          <w:sz w:val="20"/>
          <w:szCs w:val="20"/>
          <w:color w:val="auto"/>
        </w:rPr>
      </w:pPr>
      <w:r>
        <w:rPr>
          <w:rFonts w:ascii="Arial" w:cs="Arial" w:eastAsia="Arial" w:hAnsi="Arial"/>
          <w:sz w:val="18"/>
          <w:szCs w:val="18"/>
          <w:b w:val="1"/>
          <w:bCs w:val="1"/>
          <w:color w:val="auto"/>
        </w:rPr>
        <w:t>Warrants</w:t>
      </w:r>
    </w:p>
    <w:p>
      <w:pPr>
        <w:spacing w:after="0" w:line="190" w:lineRule="exact"/>
        <w:rPr>
          <w:sz w:val="20"/>
          <w:szCs w:val="20"/>
          <w:color w:val="auto"/>
        </w:rPr>
      </w:pPr>
    </w:p>
    <w:p>
      <w:pPr>
        <w:ind w:left="120" w:right="140" w:firstLine="440"/>
        <w:spacing w:after="0" w:line="239" w:lineRule="auto"/>
        <w:rPr>
          <w:sz w:val="20"/>
          <w:szCs w:val="20"/>
          <w:color w:val="auto"/>
        </w:rPr>
      </w:pPr>
      <w:r>
        <w:rPr>
          <w:rFonts w:ascii="Arial" w:cs="Arial" w:eastAsia="Arial" w:hAnsi="Arial"/>
          <w:sz w:val="17"/>
          <w:szCs w:val="17"/>
          <w:color w:val="auto"/>
        </w:rPr>
        <w:t>We may offer and sell securities from time to time in one or more offerings of up to $200,000,000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any applicable prospectus supplement, as well as the documents incorporated by reference herein and therein, carefully before you invest.</w:t>
      </w:r>
    </w:p>
    <w:p>
      <w:pPr>
        <w:spacing w:after="0" w:line="182" w:lineRule="exact"/>
        <w:rPr>
          <w:sz w:val="20"/>
          <w:szCs w:val="20"/>
          <w:color w:val="auto"/>
        </w:rPr>
      </w:pPr>
    </w:p>
    <w:p>
      <w:pPr>
        <w:ind w:left="120" w:firstLine="440"/>
        <w:spacing w:after="0" w:line="249" w:lineRule="auto"/>
        <w:rPr>
          <w:sz w:val="20"/>
          <w:szCs w:val="20"/>
          <w:color w:val="auto"/>
        </w:rPr>
      </w:pPr>
      <w:r>
        <w:rPr>
          <w:rFonts w:ascii="Arial" w:cs="Arial" w:eastAsia="Arial" w:hAnsi="Arial"/>
          <w:sz w:val="17"/>
          <w:szCs w:val="17"/>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common stock is listed on The Nasdaq Global Market under the symbol “CLYM”.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233045</wp:posOffset>
            </wp:positionV>
            <wp:extent cx="22459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20" w:right="100"/>
        <w:spacing w:after="0" w:line="260" w:lineRule="auto"/>
        <w:rPr>
          <w:sz w:val="20"/>
          <w:szCs w:val="20"/>
          <w:color w:val="auto"/>
        </w:rPr>
      </w:pPr>
      <w:r>
        <w:rPr>
          <w:rFonts w:ascii="Arial" w:cs="Arial" w:eastAsia="Arial" w:hAnsi="Arial"/>
          <w:sz w:val="21"/>
          <w:szCs w:val="21"/>
          <w:b w:val="1"/>
          <w:bCs w:val="1"/>
          <w:color w:val="auto"/>
        </w:rPr>
        <w:t>Investing in these securities involves significant risks. See the information included under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on page 6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193675</wp:posOffset>
            </wp:positionV>
            <wp:extent cx="22459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 w:right="380" w:firstLine="440"/>
        <w:spacing w:after="0" w:line="280"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date of this prospectus is November 22, 2024</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8200" w:type="dxa"/>
            <w:vAlign w:val="bottom"/>
            <w:gridSpan w:val="15"/>
          </w:tcPr>
          <w:p>
            <w:pPr>
              <w:spacing w:after="0"/>
              <w:rPr>
                <w:sz w:val="20"/>
                <w:szCs w:val="20"/>
                <w:color w:val="auto"/>
              </w:rPr>
            </w:pPr>
            <w:r>
              <w:rPr>
                <w:rFonts w:ascii="Arial" w:cs="Arial" w:eastAsia="Arial" w:hAnsi="Arial"/>
                <w:sz w:val="17"/>
                <w:szCs w:val="17"/>
                <w:color w:val="0000EE"/>
              </w:rPr>
              <w:t>ABOUT THIS PROSPECTUS</w:t>
            </w:r>
          </w:p>
        </w:tc>
        <w:tc>
          <w:tcPr>
            <w:tcW w:w="2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370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w w:val="99"/>
              </w:rPr>
              <w:t>WHERE YOU CAN FIND MORE INFORMATION</w:t>
            </w:r>
          </w:p>
        </w:tc>
        <w:tc>
          <w:tcPr>
            <w:tcW w:w="4500" w:type="dxa"/>
            <w:vAlign w:val="bottom"/>
            <w:gridSpan w:val="3"/>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85"/>
        </w:trPr>
        <w:tc>
          <w:tcPr>
            <w:tcW w:w="502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9"/>
              </w:rPr>
              <w:t>INCORPORATION OF CERTAIN DOCUMENTS BY REFERENCE</w:t>
            </w:r>
          </w:p>
        </w:tc>
        <w:tc>
          <w:tcPr>
            <w:tcW w:w="3180" w:type="dxa"/>
            <w:vAlign w:val="bottom"/>
            <w:gridSpan w:val="2"/>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85"/>
        </w:trPr>
        <w:tc>
          <w:tcPr>
            <w:tcW w:w="8200" w:type="dxa"/>
            <w:vAlign w:val="bottom"/>
            <w:gridSpan w:val="15"/>
          </w:tcPr>
          <w:p>
            <w:pPr>
              <w:spacing w:after="0"/>
              <w:rPr>
                <w:sz w:val="20"/>
                <w:szCs w:val="20"/>
                <w:color w:val="auto"/>
              </w:rPr>
            </w:pPr>
            <w:r>
              <w:rPr>
                <w:rFonts w:ascii="Arial" w:cs="Arial" w:eastAsia="Arial" w:hAnsi="Arial"/>
                <w:sz w:val="17"/>
                <w:szCs w:val="17"/>
                <w:color w:val="0000EE"/>
              </w:rPr>
              <w:t>CAUTIONARY NOTE REGARDING FORWARD-LOOKING STATEMENTS</w:t>
            </w:r>
          </w:p>
        </w:tc>
        <w:tc>
          <w:tcPr>
            <w:tcW w:w="2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85"/>
        </w:trPr>
        <w:tc>
          <w:tcPr>
            <w:tcW w:w="5640" w:type="dxa"/>
            <w:vAlign w:val="bottom"/>
            <w:tcBorders>
              <w:top w:val="single" w:sz="8" w:color="0000EE"/>
            </w:tcBorders>
            <w:gridSpan w:val="14"/>
          </w:tcPr>
          <w:p>
            <w:pPr>
              <w:spacing w:after="0"/>
              <w:rPr>
                <w:sz w:val="20"/>
                <w:szCs w:val="20"/>
                <w:color w:val="auto"/>
              </w:rPr>
            </w:pPr>
            <w:r>
              <w:rPr>
                <w:rFonts w:ascii="Arial" w:cs="Arial" w:eastAsia="Arial" w:hAnsi="Arial"/>
                <w:sz w:val="17"/>
                <w:szCs w:val="17"/>
                <w:color w:val="0000EE"/>
              </w:rPr>
              <w:t>RISK FACTORS</w:t>
            </w:r>
          </w:p>
        </w:tc>
        <w:tc>
          <w:tcPr>
            <w:tcW w:w="2560" w:type="dxa"/>
            <w:vAlign w:val="bottom"/>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19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9"/>
              </w:rPr>
              <w:t>ABOUT CLIMB BIO, INC.</w:t>
            </w:r>
          </w:p>
        </w:tc>
        <w:tc>
          <w:tcPr>
            <w:tcW w:w="6260" w:type="dxa"/>
            <w:vAlign w:val="bottom"/>
            <w:gridSpan w:val="10"/>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85"/>
        </w:trPr>
        <w:tc>
          <w:tcPr>
            <w:tcW w:w="164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9"/>
              </w:rPr>
              <w:t>USE OF PROCEEDS</w:t>
            </w:r>
          </w:p>
        </w:tc>
        <w:tc>
          <w:tcPr>
            <w:tcW w:w="6560" w:type="dxa"/>
            <w:vAlign w:val="bottom"/>
            <w:gridSpan w:val="11"/>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85"/>
        </w:trPr>
        <w:tc>
          <w:tcPr>
            <w:tcW w:w="8200" w:type="dxa"/>
            <w:vAlign w:val="bottom"/>
            <w:gridSpan w:val="15"/>
          </w:tcPr>
          <w:p>
            <w:pPr>
              <w:spacing w:after="0"/>
              <w:rPr>
                <w:sz w:val="20"/>
                <w:szCs w:val="20"/>
                <w:color w:val="auto"/>
              </w:rPr>
            </w:pPr>
            <w:r>
              <w:rPr>
                <w:rFonts w:ascii="Arial" w:cs="Arial" w:eastAsia="Arial" w:hAnsi="Arial"/>
                <w:sz w:val="17"/>
                <w:szCs w:val="17"/>
                <w:color w:val="0000EE"/>
              </w:rPr>
              <w:t>DESCRIPTION OF DEBT SECURITIES</w:t>
            </w:r>
          </w:p>
        </w:tc>
        <w:tc>
          <w:tcPr>
            <w:tcW w:w="28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85"/>
        </w:trPr>
        <w:tc>
          <w:tcPr>
            <w:tcW w:w="3020" w:type="dxa"/>
            <w:vAlign w:val="bottom"/>
            <w:tcBorders>
              <w:top w:val="single" w:sz="8" w:color="0000EE"/>
            </w:tcBorders>
            <w:gridSpan w:val="10"/>
          </w:tcPr>
          <w:p>
            <w:pPr>
              <w:spacing w:after="0"/>
              <w:rPr>
                <w:sz w:val="20"/>
                <w:szCs w:val="20"/>
                <w:color w:val="auto"/>
              </w:rPr>
            </w:pPr>
            <w:r>
              <w:rPr>
                <w:rFonts w:ascii="Arial" w:cs="Arial" w:eastAsia="Arial" w:hAnsi="Arial"/>
                <w:sz w:val="17"/>
                <w:szCs w:val="17"/>
                <w:color w:val="0000EE"/>
              </w:rPr>
              <w:t>DESCRIPTION OF CAPITAL STOCK</w:t>
            </w:r>
          </w:p>
        </w:tc>
        <w:tc>
          <w:tcPr>
            <w:tcW w:w="5180" w:type="dxa"/>
            <w:vAlign w:val="bottom"/>
            <w:gridSpan w:val="5"/>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348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rPr>
              <w:t>DESCRIPTION OF SUBSCRIPTION RIGHTS</w:t>
            </w:r>
          </w:p>
        </w:tc>
        <w:tc>
          <w:tcPr>
            <w:tcW w:w="4720" w:type="dxa"/>
            <w:vAlign w:val="bottom"/>
            <w:gridSpan w:val="4"/>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85"/>
        </w:trPr>
        <w:tc>
          <w:tcPr>
            <w:tcW w:w="8200" w:type="dxa"/>
            <w:vAlign w:val="bottom"/>
            <w:gridSpan w:val="15"/>
          </w:tcPr>
          <w:p>
            <w:pPr>
              <w:spacing w:after="0"/>
              <w:rPr>
                <w:sz w:val="20"/>
                <w:szCs w:val="20"/>
                <w:color w:val="auto"/>
              </w:rPr>
            </w:pPr>
            <w:r>
              <w:rPr>
                <w:rFonts w:ascii="Arial" w:cs="Arial" w:eastAsia="Arial" w:hAnsi="Arial"/>
                <w:sz w:val="17"/>
                <w:szCs w:val="17"/>
                <w:color w:val="0000EE"/>
              </w:rPr>
              <w:t>DESCRIPTION OF UNITS</w:t>
            </w:r>
          </w:p>
        </w:tc>
        <w:tc>
          <w:tcPr>
            <w:tcW w:w="28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385"/>
        </w:trPr>
        <w:tc>
          <w:tcPr>
            <w:tcW w:w="8200" w:type="dxa"/>
            <w:vAlign w:val="bottom"/>
            <w:gridSpan w:val="15"/>
          </w:tcPr>
          <w:p>
            <w:pPr>
              <w:spacing w:after="0"/>
              <w:rPr>
                <w:sz w:val="20"/>
                <w:szCs w:val="20"/>
                <w:color w:val="auto"/>
              </w:rPr>
            </w:pPr>
            <w:r>
              <w:rPr>
                <w:rFonts w:ascii="Arial" w:cs="Arial" w:eastAsia="Arial" w:hAnsi="Arial"/>
                <w:sz w:val="17"/>
                <w:szCs w:val="17"/>
                <w:color w:val="0000EE"/>
              </w:rPr>
              <w:t>DESCRIPTION OF WARRANTS</w:t>
            </w:r>
          </w:p>
        </w:tc>
        <w:tc>
          <w:tcPr>
            <w:tcW w:w="28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85"/>
        </w:trPr>
        <w:tc>
          <w:tcPr>
            <w:tcW w:w="20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7"/>
                <w:szCs w:val="17"/>
                <w:color w:val="0000EE"/>
                <w:w w:val="99"/>
              </w:rPr>
              <w:t>FORMS OF SECURITIES</w:t>
            </w:r>
          </w:p>
        </w:tc>
        <w:tc>
          <w:tcPr>
            <w:tcW w:w="460" w:type="dxa"/>
            <w:vAlign w:val="bottom"/>
            <w:tcBorders>
              <w:top w:val="single" w:sz="8" w:color="0000EE"/>
            </w:tcBorders>
            <w:gridSpan w:val="2"/>
          </w:tcPr>
          <w:p>
            <w:pPr>
              <w:spacing w:after="0"/>
              <w:rPr>
                <w:sz w:val="24"/>
                <w:szCs w:val="24"/>
                <w:color w:val="auto"/>
              </w:rPr>
            </w:pPr>
          </w:p>
        </w:tc>
        <w:tc>
          <w:tcPr>
            <w:tcW w:w="5740" w:type="dxa"/>
            <w:vAlign w:val="bottom"/>
            <w:gridSpan w:val="7"/>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85"/>
        </w:trPr>
        <w:tc>
          <w:tcPr>
            <w:tcW w:w="200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PLAN OF DISTRIBUTION</w:t>
            </w:r>
          </w:p>
        </w:tc>
        <w:tc>
          <w:tcPr>
            <w:tcW w:w="6200" w:type="dxa"/>
            <w:vAlign w:val="bottom"/>
            <w:gridSpan w:val="9"/>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85"/>
        </w:trPr>
        <w:tc>
          <w:tcPr>
            <w:tcW w:w="140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8"/>
              </w:rPr>
              <w:t>LEGAL MATTERS</w:t>
            </w:r>
          </w:p>
        </w:tc>
        <w:tc>
          <w:tcPr>
            <w:tcW w:w="6800" w:type="dxa"/>
            <w:vAlign w:val="bottom"/>
            <w:gridSpan w:val="12"/>
          </w:tcPr>
          <w:p>
            <w:pPr>
              <w:spacing w:after="0"/>
              <w:rPr>
                <w:sz w:val="24"/>
                <w:szCs w:val="24"/>
                <w:color w:val="auto"/>
              </w:rPr>
            </w:pPr>
          </w:p>
        </w:tc>
        <w:tc>
          <w:tcPr>
            <w:tcW w:w="28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85"/>
        </w:trPr>
        <w:tc>
          <w:tcPr>
            <w:tcW w:w="8200" w:type="dxa"/>
            <w:vAlign w:val="bottom"/>
            <w:gridSpan w:val="15"/>
          </w:tcPr>
          <w:p>
            <w:pPr>
              <w:spacing w:after="0"/>
              <w:rPr>
                <w:sz w:val="20"/>
                <w:szCs w:val="20"/>
                <w:color w:val="auto"/>
              </w:rPr>
            </w:pPr>
            <w:r>
              <w:rPr>
                <w:rFonts w:ascii="Arial" w:cs="Arial" w:eastAsia="Arial" w:hAnsi="Arial"/>
                <w:sz w:val="17"/>
                <w:szCs w:val="17"/>
                <w:color w:val="0000EE"/>
              </w:rPr>
              <w:t>EXPERTS</w:t>
            </w:r>
          </w:p>
        </w:tc>
        <w:tc>
          <w:tcPr>
            <w:tcW w:w="28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800" w:type="dxa"/>
            <w:vAlign w:val="bottom"/>
            <w:tcBorders>
              <w:top w:val="single" w:sz="8" w:color="0000EE"/>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316" w:lineRule="exact"/>
        <w:rPr>
          <w:sz w:val="20"/>
          <w:szCs w:val="20"/>
          <w:color w:val="auto"/>
        </w:rPr>
      </w:pPr>
    </w:p>
    <w:p>
      <w:pPr>
        <w:ind w:left="120" w:firstLine="440"/>
        <w:spacing w:after="0" w:line="24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$200,000,000.</w:t>
      </w:r>
    </w:p>
    <w:p>
      <w:pPr>
        <w:spacing w:after="0" w:line="175" w:lineRule="exact"/>
        <w:rPr>
          <w:sz w:val="20"/>
          <w:szCs w:val="20"/>
          <w:color w:val="auto"/>
        </w:rPr>
      </w:pPr>
    </w:p>
    <w:p>
      <w:pPr>
        <w:ind w:left="120" w:firstLine="440"/>
        <w:spacing w:after="0" w:line="23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such prospectus supplement. You should read both this prospectus and the accompanying prospectus supplement together with the additional information described under the heading “Where You Can Find More Information.”</w:t>
      </w:r>
    </w:p>
    <w:p>
      <w:pPr>
        <w:spacing w:after="0" w:line="18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4" w:lineRule="exact"/>
        <w:rPr>
          <w:sz w:val="20"/>
          <w:szCs w:val="20"/>
          <w:color w:val="auto"/>
        </w:rPr>
      </w:pPr>
    </w:p>
    <w:p>
      <w:pPr>
        <w:ind w:left="120" w:right="100" w:firstLine="440"/>
        <w:spacing w:after="0" w:line="267" w:lineRule="auto"/>
        <w:rPr>
          <w:sz w:val="20"/>
          <w:szCs w:val="20"/>
          <w:color w:val="auto"/>
        </w:rPr>
      </w:pPr>
      <w:r>
        <w:rPr>
          <w:rFonts w:ascii="Arial" w:cs="Arial" w:eastAsia="Arial" w:hAnsi="Arial"/>
          <w:sz w:val="17"/>
          <w:szCs w:val="17"/>
          <w:color w:val="auto"/>
        </w:rPr>
        <w:t>Unless the context otherwise indicates, references in this prospectus to the “Company,” “we,” “our” and “us” refer, collectively, to Climb Bio, Inc., a Delaware corporation, and its consolidated subsidiaries.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8" w:lineRule="exact"/>
        <w:rPr>
          <w:sz w:val="20"/>
          <w:szCs w:val="20"/>
          <w:color w:val="auto"/>
        </w:rPr>
      </w:pPr>
    </w:p>
    <w:p>
      <w:pPr>
        <w:ind w:left="120" w:right="260" w:firstLine="440"/>
        <w:spacing w:after="0" w:line="24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https://climbbio.com. Our website is not a part of this prospectus and is not incorporated by reference in this prospectus.</w:t>
      </w:r>
    </w:p>
    <w:p>
      <w:pPr>
        <w:spacing w:after="0" w:line="175"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08" w:lineRule="exact"/>
        <w:rPr>
          <w:sz w:val="20"/>
          <w:szCs w:val="20"/>
          <w:color w:val="auto"/>
        </w:rPr>
      </w:pPr>
    </w:p>
    <w:p>
      <w:pPr>
        <w:ind w:left="120" w:firstLine="440"/>
        <w:spacing w:after="0" w:line="236"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001-40708)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89" w:lineRule="exact"/>
        <w:rPr>
          <w:sz w:val="20"/>
          <w:szCs w:val="20"/>
          <w:color w:val="auto"/>
        </w:rPr>
      </w:pPr>
    </w:p>
    <w:p>
      <w:pPr>
        <w:ind w:left="980" w:right="80" w:hanging="432"/>
        <w:spacing w:after="0" w:line="267" w:lineRule="auto"/>
        <w:tabs>
          <w:tab w:leader="none" w:pos="980" w:val="left"/>
        </w:tabs>
        <w:numPr>
          <w:ilvl w:val="0"/>
          <w:numId w:val="8"/>
        </w:numPr>
        <w:rPr>
          <w:rFonts w:ascii="Arial" w:cs="Arial" w:eastAsia="Arial" w:hAnsi="Arial"/>
          <w:sz w:val="17"/>
          <w:szCs w:val="17"/>
          <w:color w:val="0000EE"/>
        </w:rPr>
      </w:pPr>
      <w:r>
        <w:rPr>
          <w:rFonts w:ascii="Arial" w:cs="Arial" w:eastAsia="Arial" w:hAnsi="Arial"/>
          <w:sz w:val="17"/>
          <w:szCs w:val="17"/>
          <w:color w:val="auto"/>
        </w:rPr>
        <w:t xml:space="preserve">Annual Report on </w:t>
      </w:r>
      <w:hyperlink r:id="rId51">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fiscal year ended December 31, 2023, as filed with the SEC on March 28, 2024, as amended by </w:t>
      </w:r>
      <w:hyperlink r:id="rId52">
        <w:r>
          <w:rPr>
            <w:rFonts w:ascii="Arial" w:cs="Arial" w:eastAsia="Arial" w:hAnsi="Arial"/>
            <w:sz w:val="17"/>
            <w:szCs w:val="17"/>
            <w:u w:val="single" w:color="auto"/>
            <w:color w:val="0000EE"/>
          </w:rPr>
          <w:t>Amendment No. 1</w:t>
        </w:r>
        <w:r>
          <w:rPr>
            <w:rFonts w:ascii="Arial" w:cs="Arial" w:eastAsia="Arial" w:hAnsi="Arial"/>
            <w:sz w:val="17"/>
            <w:szCs w:val="17"/>
            <w:color w:val="0000EE"/>
          </w:rPr>
          <w:t xml:space="preserve"> </w:t>
        </w:r>
      </w:hyperlink>
      <w:r>
        <w:rPr>
          <w:rFonts w:ascii="Arial" w:cs="Arial" w:eastAsia="Arial" w:hAnsi="Arial"/>
          <w:sz w:val="17"/>
          <w:szCs w:val="17"/>
          <w:color w:val="000000"/>
        </w:rPr>
        <w:t>thereto,</w:t>
      </w:r>
      <w:r>
        <w:rPr>
          <w:rFonts w:ascii="Arial" w:cs="Arial" w:eastAsia="Arial" w:hAnsi="Arial"/>
          <w:sz w:val="17"/>
          <w:szCs w:val="17"/>
          <w:color w:val="0000EE"/>
        </w:rPr>
        <w:t xml:space="preserve"> </w:t>
      </w:r>
      <w:r>
        <w:rPr>
          <w:rFonts w:ascii="Arial" w:cs="Arial" w:eastAsia="Arial" w:hAnsi="Arial"/>
          <w:sz w:val="17"/>
          <w:szCs w:val="17"/>
          <w:color w:val="000000"/>
        </w:rPr>
        <w:t>filed with the SEC on April 29, 2024;</w:t>
      </w:r>
    </w:p>
    <w:p>
      <w:pPr>
        <w:spacing w:after="0" w:line="67" w:lineRule="exact"/>
        <w:rPr>
          <w:rFonts w:ascii="Arial" w:cs="Arial" w:eastAsia="Arial" w:hAnsi="Arial"/>
          <w:sz w:val="17"/>
          <w:szCs w:val="17"/>
          <w:color w:val="0000EE"/>
        </w:rPr>
      </w:pPr>
    </w:p>
    <w:p>
      <w:pPr>
        <w:ind w:left="980" w:right="180" w:hanging="432"/>
        <w:spacing w:after="0" w:line="23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March 31, 2024, June 30, 2024 and September 30, 2024, as filed with the SEC on </w:t>
      </w:r>
      <w:hyperlink r:id="rId53">
        <w:r>
          <w:rPr>
            <w:rFonts w:ascii="Arial" w:cs="Arial" w:eastAsia="Arial" w:hAnsi="Arial"/>
            <w:sz w:val="18"/>
            <w:szCs w:val="18"/>
            <w:u w:val="single" w:color="auto"/>
            <w:color w:val="0000EE"/>
          </w:rPr>
          <w:t>May 15, 2024</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August 14,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5">
        <w:r>
          <w:rPr>
            <w:rFonts w:ascii="Arial" w:cs="Arial" w:eastAsia="Arial" w:hAnsi="Arial"/>
            <w:sz w:val="18"/>
            <w:szCs w:val="18"/>
            <w:u w:val="single" w:color="auto"/>
            <w:color w:val="0000EE"/>
          </w:rPr>
          <w:t>November 12, 2024</w:t>
        </w:r>
      </w:hyperlink>
      <w:r>
        <w:rPr>
          <w:rFonts w:ascii="Arial" w:cs="Arial" w:eastAsia="Arial" w:hAnsi="Arial"/>
          <w:sz w:val="18"/>
          <w:szCs w:val="18"/>
          <w:color w:val="auto"/>
        </w:rPr>
        <w:t>, respectively;</w:t>
      </w:r>
    </w:p>
    <w:p>
      <w:pPr>
        <w:spacing w:after="0" w:line="82" w:lineRule="exact"/>
        <w:rPr>
          <w:rFonts w:ascii="Arial" w:cs="Arial" w:eastAsia="Arial" w:hAnsi="Arial"/>
          <w:sz w:val="18"/>
          <w:szCs w:val="18"/>
          <w:color w:val="auto"/>
        </w:rPr>
      </w:pPr>
    </w:p>
    <w:p>
      <w:pPr>
        <w:jc w:val="both"/>
        <w:ind w:left="980" w:right="300" w:hanging="432"/>
        <w:spacing w:after="0" w:line="249" w:lineRule="auto"/>
        <w:tabs>
          <w:tab w:leader="none" w:pos="980" w:val="left"/>
        </w:tabs>
        <w:numPr>
          <w:ilvl w:val="0"/>
          <w:numId w:val="8"/>
        </w:numPr>
        <w:rPr>
          <w:rFonts w:ascii="Arial" w:cs="Arial" w:eastAsia="Arial" w:hAnsi="Arial"/>
          <w:sz w:val="17"/>
          <w:szCs w:val="17"/>
          <w:color w:val="0000EE"/>
        </w:rPr>
      </w:pPr>
      <w:hyperlink r:id="rId56">
        <w:r>
          <w:rPr>
            <w:rFonts w:ascii="Arial" w:cs="Arial" w:eastAsia="Arial" w:hAnsi="Arial"/>
            <w:sz w:val="17"/>
            <w:szCs w:val="17"/>
            <w:color w:val="auto"/>
          </w:rPr>
          <w:t xml:space="preserve">Current Reports on Form 8-K as filed with the SEC on </w:t>
        </w:r>
        <w:r>
          <w:rPr>
            <w:rFonts w:ascii="Arial" w:cs="Arial" w:eastAsia="Arial" w:hAnsi="Arial"/>
            <w:sz w:val="17"/>
            <w:szCs w:val="17"/>
            <w:u w:val="single" w:color="auto"/>
            <w:color w:val="0000EE"/>
          </w:rPr>
          <w:t>March 19, 2024</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11, 2024</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June 12, 2024</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June 26, 2024</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June 27,</w:t>
        </w:r>
      </w:hyperlink>
      <w:r>
        <w:rPr>
          <w:rFonts w:ascii="Arial" w:cs="Arial" w:eastAsia="Arial" w:hAnsi="Arial"/>
          <w:sz w:val="17"/>
          <w:szCs w:val="17"/>
          <w:color w:val="auto"/>
        </w:rPr>
        <w:t xml:space="preserve"> </w:t>
      </w:r>
      <w:hyperlink r:id="rId56">
        <w:r>
          <w:rPr>
            <w:rFonts w:ascii="Arial" w:cs="Arial" w:eastAsia="Arial" w:hAnsi="Arial"/>
            <w:sz w:val="17"/>
            <w:szCs w:val="17"/>
            <w:u w:val="single" w:color="auto"/>
            <w:color w:val="0000EE"/>
          </w:rPr>
          <w:t>2024</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7">
        <w:r>
          <w:rPr>
            <w:rFonts w:ascii="Arial" w:cs="Arial" w:eastAsia="Arial" w:hAnsi="Arial"/>
            <w:sz w:val="17"/>
            <w:szCs w:val="17"/>
            <w:u w:val="single" w:color="auto"/>
            <w:color w:val="0000EE"/>
          </w:rPr>
          <w:t>August 26, 2024</w:t>
        </w:r>
      </w:hyperlink>
      <w:hyperlink r:id="rId5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8">
        <w:r>
          <w:rPr>
            <w:rFonts w:ascii="Arial" w:cs="Arial" w:eastAsia="Arial" w:hAnsi="Arial"/>
            <w:sz w:val="17"/>
            <w:szCs w:val="17"/>
            <w:u w:val="single" w:color="auto"/>
            <w:color w:val="0000EE"/>
          </w:rPr>
          <w:t>August 27, 2024</w:t>
        </w:r>
      </w:hyperlink>
      <w:hyperlink r:id="rId5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9">
        <w:r>
          <w:rPr>
            <w:rFonts w:ascii="Arial" w:cs="Arial" w:eastAsia="Arial" w:hAnsi="Arial"/>
            <w:sz w:val="17"/>
            <w:szCs w:val="17"/>
            <w:u w:val="single" w:color="auto"/>
            <w:color w:val="0000EE"/>
          </w:rPr>
          <w:t xml:space="preserve">October 2, 2024 </w:t>
        </w:r>
      </w:hyperlink>
      <w:hyperlink r:id="rId56">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60">
        <w:r>
          <w:rPr>
            <w:rFonts w:ascii="Arial" w:cs="Arial" w:eastAsia="Arial" w:hAnsi="Arial"/>
            <w:sz w:val="17"/>
            <w:szCs w:val="17"/>
            <w:u w:val="single" w:color="auto"/>
            <w:color w:val="0000EE"/>
          </w:rPr>
          <w:t xml:space="preserve">November 12, 2024 </w:t>
        </w:r>
      </w:hyperlink>
      <w:hyperlink r:id="rId56">
        <w:r>
          <w:rPr>
            <w:rFonts w:ascii="Arial" w:cs="Arial" w:eastAsia="Arial" w:hAnsi="Arial"/>
            <w:sz w:val="17"/>
            <w:szCs w:val="17"/>
            <w:color w:val="000000"/>
          </w:rPr>
          <w:t>(with respect to Items 8.01 and 9.01(b) only);</w:t>
        </w:r>
      </w:hyperlink>
      <w:r>
        <w:rPr>
          <w:rFonts w:ascii="Arial" w:cs="Arial" w:eastAsia="Arial" w:hAnsi="Arial"/>
          <w:sz w:val="17"/>
          <w:szCs w:val="17"/>
          <w:color w:val="0000EE"/>
        </w:rPr>
        <w:t xml:space="preserve"> </w:t>
      </w:r>
      <w:r>
        <w:rPr>
          <w:rFonts w:ascii="Arial" w:cs="Arial" w:eastAsia="Arial" w:hAnsi="Arial"/>
          <w:sz w:val="17"/>
          <w:szCs w:val="17"/>
          <w:color w:val="000000"/>
        </w:rPr>
        <w:t>and</w:t>
      </w:r>
    </w:p>
    <w:p>
      <w:pPr>
        <w:spacing w:after="0" w:line="80" w:lineRule="exact"/>
        <w:rPr>
          <w:rFonts w:ascii="Arial" w:cs="Arial" w:eastAsia="Arial" w:hAnsi="Arial"/>
          <w:sz w:val="17"/>
          <w:szCs w:val="17"/>
          <w:color w:val="0000EE"/>
        </w:rPr>
      </w:pPr>
    </w:p>
    <w:p>
      <w:pPr>
        <w:ind w:left="980" w:right="60" w:hanging="432"/>
        <w:spacing w:after="0" w:line="244"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40">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as filed with the SEC on August 3, 2021, as the description therein has been updated and superseded by the description of our capital stock contained in </w:t>
      </w:r>
      <w:hyperlink r:id="rId61">
        <w:r>
          <w:rPr>
            <w:rFonts w:ascii="Arial" w:cs="Arial" w:eastAsia="Arial" w:hAnsi="Arial"/>
            <w:sz w:val="17"/>
            <w:szCs w:val="17"/>
            <w:u w:val="single" w:color="auto"/>
            <w:color w:val="0000EE"/>
          </w:rPr>
          <w:t>Exhibit 4.3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10-K for the fiscal year ended December 31, 2021, as filed with the SEC on March 7, 2022, and including any amendments and reports filed for the purpose of updating such description.</w:t>
      </w:r>
    </w:p>
    <w:p>
      <w:pPr>
        <w:spacing w:after="0" w:line="118"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telephone number:</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Climb Bio, Inc.</w:t>
      </w:r>
    </w:p>
    <w:p>
      <w:pPr>
        <w:spacing w:after="0" w:line="3"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20 William Street, Suite 145</w:t>
      </w:r>
    </w:p>
    <w:p>
      <w:pPr>
        <w:jc w:val="center"/>
        <w:ind w:right="-1100"/>
        <w:spacing w:after="0" w:line="232" w:lineRule="auto"/>
        <w:rPr>
          <w:sz w:val="20"/>
          <w:szCs w:val="20"/>
          <w:color w:val="auto"/>
        </w:rPr>
      </w:pPr>
      <w:r>
        <w:rPr>
          <w:rFonts w:ascii="Arial" w:cs="Arial" w:eastAsia="Arial" w:hAnsi="Arial"/>
          <w:sz w:val="17"/>
          <w:szCs w:val="17"/>
          <w:color w:val="auto"/>
        </w:rPr>
        <w:t>Wellesley Hills, Massachusetts 02481</w:t>
      </w:r>
    </w:p>
    <w:p>
      <w:pPr>
        <w:jc w:val="center"/>
        <w:ind w:right="-1100"/>
        <w:spacing w:after="0" w:line="232" w:lineRule="auto"/>
        <w:rPr>
          <w:sz w:val="20"/>
          <w:szCs w:val="20"/>
          <w:color w:val="auto"/>
        </w:rPr>
      </w:pPr>
      <w:r>
        <w:rPr>
          <w:rFonts w:ascii="Arial" w:cs="Arial" w:eastAsia="Arial" w:hAnsi="Arial"/>
          <w:sz w:val="17"/>
          <w:szCs w:val="17"/>
          <w:color w:val="auto"/>
        </w:rPr>
        <w:t>Attention: Investor Relations</w:t>
      </w:r>
    </w:p>
    <w:p>
      <w:pPr>
        <w:jc w:val="center"/>
        <w:ind w:right="-1100"/>
        <w:spacing w:after="0"/>
        <w:rPr>
          <w:sz w:val="20"/>
          <w:szCs w:val="20"/>
          <w:color w:val="auto"/>
        </w:rPr>
      </w:pPr>
      <w:r>
        <w:rPr>
          <w:rFonts w:ascii="Arial" w:cs="Arial" w:eastAsia="Arial" w:hAnsi="Arial"/>
          <w:sz w:val="17"/>
          <w:szCs w:val="17"/>
          <w:color w:val="auto"/>
        </w:rPr>
        <w:t>(866) 857-2596</w:t>
      </w:r>
    </w:p>
    <w:p>
      <w:pPr>
        <w:spacing w:after="0" w:line="13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139"/>
          </w:cols>
          <w:pgMar w:left="320" w:top="45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8"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7"/>
          <w:szCs w:val="17"/>
          <w:color w:val="auto"/>
        </w:rPr>
        <w:t>This prospectus and the information incorporated by reference in this prospectus contain certain forward-looking statements within the meaning of Section 27A of the Securities Act of 1933, as amended, or the Securities Act, and Section 21E of the Securities Exchange Act of 1934, as amended, or the Exchange Act. All statements, other than statements of historical fact, contained in this prospectus or incorporated by reference herein, including statements regarding our strategy, future operations, future financial position, future revenue, projected costs, prospects, plans, objectives of management and expected market growth, are forward-looking statements. The words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w:t>
      </w:r>
    </w:p>
    <w:p>
      <w:pPr>
        <w:spacing w:after="0" w:line="184" w:lineRule="exact"/>
        <w:rPr>
          <w:sz w:val="20"/>
          <w:szCs w:val="20"/>
          <w:color w:val="auto"/>
        </w:rPr>
      </w:pPr>
    </w:p>
    <w:p>
      <w:pPr>
        <w:ind w:left="120" w:right="580" w:firstLine="440"/>
        <w:spacing w:after="0" w:line="267" w:lineRule="auto"/>
        <w:rPr>
          <w:sz w:val="20"/>
          <w:szCs w:val="20"/>
          <w:color w:val="auto"/>
        </w:rPr>
      </w:pPr>
      <w:r>
        <w:rPr>
          <w:rFonts w:ascii="Arial" w:cs="Arial" w:eastAsia="Arial" w:hAnsi="Arial"/>
          <w:sz w:val="17"/>
          <w:szCs w:val="17"/>
          <w:color w:val="auto"/>
        </w:rPr>
        <w:t>The forward-looking statements in this prospectus and the documents incorporated by reference herein include, among other things, statements about:</w:t>
      </w:r>
    </w:p>
    <w:p>
      <w:pPr>
        <w:spacing w:after="0" w:line="65" w:lineRule="exact"/>
        <w:rPr>
          <w:sz w:val="20"/>
          <w:szCs w:val="20"/>
          <w:color w:val="auto"/>
        </w:rPr>
      </w:pPr>
    </w:p>
    <w:p>
      <w:pPr>
        <w:ind w:left="540" w:hanging="316"/>
        <w:spacing w:after="0"/>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initiation, timing, progress and results of our research and development programs, preclinical studies and clinical trials;</w:t>
      </w:r>
    </w:p>
    <w:p>
      <w:pPr>
        <w:spacing w:after="0" w:line="115" w:lineRule="exact"/>
        <w:rPr>
          <w:rFonts w:ascii="MS PGothic" w:cs="MS PGothic" w:eastAsia="MS PGothic" w:hAnsi="MS PGothic"/>
          <w:sz w:val="13"/>
          <w:szCs w:val="13"/>
          <w:color w:val="auto"/>
        </w:rPr>
      </w:pPr>
    </w:p>
    <w:p>
      <w:pPr>
        <w:ind w:left="540" w:right="400" w:hanging="316"/>
        <w:spacing w:after="0" w:line="267" w:lineRule="auto"/>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anticipated timing of the submission and clearance of investigational new drug applications and comparable foreign applications for budoprutug (previously referred to as TNT119) and any future product candidates we may develop;</w:t>
      </w:r>
    </w:p>
    <w:p>
      <w:pPr>
        <w:spacing w:after="0" w:line="64" w:lineRule="exact"/>
        <w:rPr>
          <w:rFonts w:ascii="MS PGothic" w:cs="MS PGothic" w:eastAsia="MS PGothic" w:hAnsi="MS PGothic"/>
          <w:sz w:val="13"/>
          <w:szCs w:val="13"/>
          <w:color w:val="auto"/>
        </w:rPr>
      </w:pPr>
    </w:p>
    <w:p>
      <w:pPr>
        <w:ind w:left="540" w:hanging="316"/>
        <w:spacing w:after="0"/>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estimates regarding the potential patient populations for budoprutug and any product candidates we may develop;</w:t>
      </w:r>
    </w:p>
    <w:p>
      <w:pPr>
        <w:spacing w:after="0" w:line="115" w:lineRule="exact"/>
        <w:rPr>
          <w:rFonts w:ascii="MS PGothic" w:cs="MS PGothic" w:eastAsia="MS PGothic" w:hAnsi="MS PGothic"/>
          <w:sz w:val="13"/>
          <w:szCs w:val="13"/>
          <w:color w:val="auto"/>
        </w:rPr>
      </w:pPr>
    </w:p>
    <w:p>
      <w:pPr>
        <w:ind w:left="540" w:hanging="316"/>
        <w:spacing w:after="0" w:line="267" w:lineRule="auto"/>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estimates regarding expenses, future revenue, capital requirements, need for additional financing and the period over which we believe our cash, cash equivalents and marketable securities will be sufficient to fund our operating expenses and capital expenditure requirements;</w:t>
      </w:r>
    </w:p>
    <w:p>
      <w:pPr>
        <w:spacing w:after="0" w:line="64" w:lineRule="exact"/>
        <w:rPr>
          <w:rFonts w:ascii="MS PGothic" w:cs="MS PGothic" w:eastAsia="MS PGothic" w:hAnsi="MS PGothic"/>
          <w:sz w:val="13"/>
          <w:szCs w:val="13"/>
          <w:color w:val="auto"/>
        </w:rPr>
      </w:pPr>
    </w:p>
    <w:p>
      <w:pPr>
        <w:ind w:left="540" w:hanging="316"/>
        <w:spacing w:after="0"/>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plans to develop and, if approved, subsequently commercialize budoprutug and any product candidates we may develop;</w:t>
      </w:r>
    </w:p>
    <w:p>
      <w:pPr>
        <w:spacing w:after="0" w:line="115" w:lineRule="exact"/>
        <w:rPr>
          <w:rFonts w:ascii="MS PGothic" w:cs="MS PGothic" w:eastAsia="MS PGothic" w:hAnsi="MS PGothic"/>
          <w:sz w:val="13"/>
          <w:szCs w:val="13"/>
          <w:color w:val="auto"/>
        </w:rPr>
      </w:pPr>
    </w:p>
    <w:p>
      <w:pPr>
        <w:ind w:left="540" w:right="660" w:hanging="316"/>
        <w:spacing w:after="0" w:line="267" w:lineRule="auto"/>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timing of and our ability to submit applications for, and obtain and maintain regulatory approvals for budoprutug and any product candidates we may develop;</w:t>
      </w:r>
    </w:p>
    <w:p>
      <w:pPr>
        <w:spacing w:after="0" w:line="64" w:lineRule="exact"/>
        <w:rPr>
          <w:rFonts w:ascii="MS PGothic" w:cs="MS PGothic" w:eastAsia="MS PGothic" w:hAnsi="MS PGothic"/>
          <w:sz w:val="13"/>
          <w:szCs w:val="13"/>
          <w:color w:val="auto"/>
        </w:rPr>
      </w:pPr>
    </w:p>
    <w:p>
      <w:pPr>
        <w:ind w:left="540" w:right="20" w:hanging="316"/>
        <w:spacing w:after="0" w:line="267" w:lineRule="auto"/>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intellectual property position and our expectations regarding our ability to obtain, maintain and enforce intellectual property protection for budoprutug and any product candidates we may develop;</w:t>
      </w:r>
    </w:p>
    <w:p>
      <w:pPr>
        <w:spacing w:after="0" w:line="64" w:lineRule="exact"/>
        <w:rPr>
          <w:rFonts w:ascii="MS PGothic" w:cs="MS PGothic" w:eastAsia="MS PGothic" w:hAnsi="MS PGothic"/>
          <w:sz w:val="13"/>
          <w:szCs w:val="13"/>
          <w:color w:val="auto"/>
        </w:rPr>
      </w:pPr>
    </w:p>
    <w:p>
      <w:pPr>
        <w:ind w:left="540" w:right="120" w:hanging="316"/>
        <w:spacing w:after="0" w:line="267" w:lineRule="auto"/>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estimates regarding the size of the potential markets for budoprutug or any other product candidates we may develop and our ability to serve those markets;</w:t>
      </w:r>
    </w:p>
    <w:p>
      <w:pPr>
        <w:spacing w:after="0" w:line="64" w:lineRule="exact"/>
        <w:rPr>
          <w:rFonts w:ascii="MS PGothic" w:cs="MS PGothic" w:eastAsia="MS PGothic" w:hAnsi="MS PGothic"/>
          <w:sz w:val="13"/>
          <w:szCs w:val="13"/>
          <w:color w:val="auto"/>
        </w:rPr>
      </w:pPr>
    </w:p>
    <w:p>
      <w:pPr>
        <w:ind w:left="540" w:hanging="316"/>
        <w:spacing w:after="0"/>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commercialization, marketing and manufacturing capabilities and strategy;</w:t>
      </w:r>
    </w:p>
    <w:p>
      <w:pPr>
        <w:spacing w:after="0" w:line="115" w:lineRule="exact"/>
        <w:rPr>
          <w:rFonts w:ascii="MS PGothic" w:cs="MS PGothic" w:eastAsia="MS PGothic" w:hAnsi="MS PGothic"/>
          <w:sz w:val="13"/>
          <w:szCs w:val="13"/>
          <w:color w:val="auto"/>
        </w:rPr>
      </w:pPr>
    </w:p>
    <w:p>
      <w:pPr>
        <w:ind w:left="540" w:right="140" w:hanging="316"/>
        <w:spacing w:after="0" w:line="267" w:lineRule="auto"/>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competitive position and expectations regarding developments and projections relating to our competitors and any competing products that are or might become available;</w:t>
      </w:r>
    </w:p>
    <w:p>
      <w:pPr>
        <w:spacing w:after="0" w:line="64" w:lineRule="exact"/>
        <w:rPr>
          <w:rFonts w:ascii="MS PGothic" w:cs="MS PGothic" w:eastAsia="MS PGothic" w:hAnsi="MS PGothic"/>
          <w:sz w:val="13"/>
          <w:szCs w:val="13"/>
          <w:color w:val="auto"/>
        </w:rPr>
      </w:pPr>
    </w:p>
    <w:p>
      <w:pPr>
        <w:ind w:left="540" w:hanging="316"/>
        <w:spacing w:after="0"/>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impact of government laws and regulations;</w:t>
      </w:r>
    </w:p>
    <w:p>
      <w:pPr>
        <w:spacing w:after="0" w:line="115" w:lineRule="exact"/>
        <w:rPr>
          <w:rFonts w:ascii="MS PGothic" w:cs="MS PGothic" w:eastAsia="MS PGothic" w:hAnsi="MS PGothic"/>
          <w:sz w:val="13"/>
          <w:szCs w:val="13"/>
          <w:color w:val="auto"/>
        </w:rPr>
      </w:pPr>
    </w:p>
    <w:p>
      <w:pPr>
        <w:ind w:left="540" w:hanging="316"/>
        <w:spacing w:after="0"/>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ability to enter into future collaborations, strategic alliances, or option and license arrangements; and</w:t>
      </w:r>
    </w:p>
    <w:p>
      <w:pPr>
        <w:spacing w:after="0" w:line="115" w:lineRule="exact"/>
        <w:rPr>
          <w:rFonts w:ascii="MS PGothic" w:cs="MS PGothic" w:eastAsia="MS PGothic" w:hAnsi="MS PGothic"/>
          <w:sz w:val="13"/>
          <w:szCs w:val="13"/>
          <w:color w:val="auto"/>
        </w:rPr>
      </w:pPr>
    </w:p>
    <w:p>
      <w:pPr>
        <w:ind w:left="540" w:hanging="316"/>
        <w:spacing w:after="0"/>
        <w:tabs>
          <w:tab w:leader="none" w:pos="54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time during which we will be an emerging growth company under the Jumpstart Our Business Startups Act.</w:t>
      </w:r>
    </w:p>
    <w:p>
      <w:pPr>
        <w:spacing w:after="0" w:line="210" w:lineRule="exact"/>
        <w:rPr>
          <w:sz w:val="20"/>
          <w:szCs w:val="20"/>
          <w:color w:val="auto"/>
        </w:rPr>
      </w:pPr>
    </w:p>
    <w:p>
      <w:pPr>
        <w:ind w:left="120" w:right="300" w:firstLine="440"/>
        <w:spacing w:after="0" w:line="244"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41" w:lineRule="auto"/>
        <w:rPr>
          <w:sz w:val="20"/>
          <w:szCs w:val="20"/>
          <w:color w:val="auto"/>
        </w:rPr>
      </w:pPr>
      <w:r>
        <w:rPr>
          <w:rFonts w:ascii="Arial" w:cs="Arial" w:eastAsia="Arial" w:hAnsi="Arial"/>
          <w:sz w:val="17"/>
          <w:szCs w:val="17"/>
          <w:color w:val="auto"/>
        </w:rPr>
        <w:t>uncertainties and assumptions that are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80" w:lineRule="exact"/>
        <w:rPr>
          <w:sz w:val="20"/>
          <w:szCs w:val="20"/>
          <w:color w:val="auto"/>
        </w:rPr>
      </w:pPr>
    </w:p>
    <w:p>
      <w:pPr>
        <w:ind w:left="120" w:firstLine="440"/>
        <w:spacing w:after="0" w:line="241" w:lineRule="auto"/>
        <w:rPr>
          <w:sz w:val="20"/>
          <w:szCs w:val="20"/>
          <w:color w:val="auto"/>
        </w:rPr>
      </w:pPr>
      <w:r>
        <w:rPr>
          <w:rFonts w:ascii="Arial" w:cs="Arial" w:eastAsia="Arial" w:hAnsi="Arial"/>
          <w:sz w:val="17"/>
          <w:szCs w:val="17"/>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08" w:lineRule="exact"/>
        <w:rPr>
          <w:sz w:val="20"/>
          <w:szCs w:val="20"/>
          <w:color w:val="auto"/>
        </w:rPr>
      </w:pPr>
    </w:p>
    <w:p>
      <w:pPr>
        <w:ind w:left="120" w:firstLine="440"/>
        <w:spacing w:after="0" w:line="237" w:lineRule="auto"/>
        <w:rPr>
          <w:sz w:val="20"/>
          <w:szCs w:val="20"/>
          <w:color w:val="auto"/>
        </w:rPr>
      </w:pPr>
      <w:r>
        <w:rPr>
          <w:rFonts w:ascii="Arial" w:cs="Arial" w:eastAsia="Arial" w:hAnsi="Arial"/>
          <w:sz w:val="17"/>
          <w:szCs w:val="17"/>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year ended December 31, 2023 and in our most recent Quarterly Report on Form 10-Q, as updated by our subsequent filings,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40"/>
          </w:cols>
          <w:pgMar w:left="320" w:top="455"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CLIMB BIO, INC.</w:t>
      </w:r>
    </w:p>
    <w:p>
      <w:pPr>
        <w:spacing w:after="0" w:line="212"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We are a clinical-stage biotechnology company primarily focused on developing therapeutics for patients with immune-mediated diseases. Our lead product candidate, budoprutug (previously referred to as TNT119), is an anti-CD19 monoclonal antibody that has demonstrated B-cell depletion and has potential to treat a broad range of B-cell mediated diseases, including primary membranous nephropathy (pMN), immune thrombocytopenia (ITP) and systemic lupus erythematosus (SLE). Budoprutug is designed to achieve broad and deep depletion of pathogenic B cells with a favorable tolerability profile and convenient dosing regimen with the potential for subcutaneous administration. We believe this reduction of autoantibodies has the potential to be disease modifying in autoantibody driven diseases, such as pMN, ITP and SLE. In a Phase 1b clinical trial of budoprutug in pMN, 3 out of 5 (or 60%) of patients that received four doses of budoprutug achieved a complete remission of proteinuria, a primary symptom of pMN, and a complete and sustained B-cell depletion was observed in all patients (5/5).</w:t>
      </w:r>
    </w:p>
    <w:p>
      <w:pPr>
        <w:spacing w:after="0" w:line="180" w:lineRule="exact"/>
        <w:rPr>
          <w:sz w:val="20"/>
          <w:szCs w:val="20"/>
          <w:color w:val="auto"/>
        </w:rPr>
      </w:pPr>
    </w:p>
    <w:p>
      <w:pPr>
        <w:ind w:left="120" w:firstLine="440"/>
        <w:spacing w:after="0" w:line="237" w:lineRule="auto"/>
        <w:rPr>
          <w:sz w:val="20"/>
          <w:szCs w:val="20"/>
          <w:color w:val="auto"/>
        </w:rPr>
      </w:pPr>
      <w:r>
        <w:rPr>
          <w:rFonts w:ascii="Arial" w:cs="Arial" w:eastAsia="Arial" w:hAnsi="Arial"/>
          <w:sz w:val="17"/>
          <w:szCs w:val="17"/>
          <w:color w:val="auto"/>
        </w:rPr>
        <w:t>In addition to pMN, we are also developing budoprutug for the treatment of ITP and SLE. In ITP, we believe targeting plasmablasts and plasma cells is likely to decrease the production of autoantibodies, increase platelet count and ameliorate disease. B cell depletion with anti-CD20 targeting monoclonal antibodies whose expression initiates somewhat later and is lost somewhat earlier than anti-CD19, has demonstrated efficacy in ITP disease for some patients in clinical trials by third parties. For those patients who do not respond to anti-CD20 therapy, we believe an anti-CD19 approach, such as budoprutug, may have the ability to further deplete pathogenic CD20-CD19+ cells. In SLE, the underlying pathology involves production of autoantibodies by autoreactive B cells that contribute to inflammation and tissue damage. CD19 is a protein expressed on the surface of these B cells and plays a key role in B cell activation. Because budoprutug is designed to target and deplete CD19-expressing B cells known to produce autoantibodies, we believe budoprutug has the potential to treat SLE.</w:t>
      </w:r>
    </w:p>
    <w:p>
      <w:pPr>
        <w:spacing w:after="0" w:line="184" w:lineRule="exact"/>
        <w:rPr>
          <w:sz w:val="20"/>
          <w:szCs w:val="20"/>
          <w:color w:val="auto"/>
        </w:rPr>
      </w:pPr>
    </w:p>
    <w:p>
      <w:pPr>
        <w:ind w:left="120" w:right="380" w:firstLine="440"/>
        <w:spacing w:after="0" w:line="249" w:lineRule="auto"/>
        <w:rPr>
          <w:sz w:val="20"/>
          <w:szCs w:val="20"/>
          <w:color w:val="auto"/>
        </w:rPr>
      </w:pPr>
      <w:r>
        <w:rPr>
          <w:rFonts w:ascii="Arial" w:cs="Arial" w:eastAsia="Arial" w:hAnsi="Arial"/>
          <w:sz w:val="17"/>
          <w:szCs w:val="17"/>
          <w:color w:val="auto"/>
        </w:rPr>
        <w:t>Effective on October 2, 2024, we amended our Amended and Restated Certificate of Incorporation to effect a change of our name from “Eliem Therapeutics, Inc.” to “Climb Bio, Inc.”. Our principal executive offices are located at 20 William Street, Suite 145, Wellesley Hills, Massachusetts 02481. Our telephone number is (866) 857-2596.</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08" w:lineRule="exact"/>
        <w:rPr>
          <w:sz w:val="20"/>
          <w:szCs w:val="20"/>
          <w:color w:val="auto"/>
        </w:rPr>
      </w:pPr>
    </w:p>
    <w:p>
      <w:pPr>
        <w:ind w:left="120" w:firstLine="440"/>
        <w:spacing w:after="0" w:line="241" w:lineRule="auto"/>
        <w:rPr>
          <w:sz w:val="20"/>
          <w:szCs w:val="20"/>
          <w:color w:val="auto"/>
        </w:rPr>
      </w:pPr>
      <w:r>
        <w:rPr>
          <w:rFonts w:ascii="Arial" w:cs="Arial" w:eastAsia="Arial" w:hAnsi="Arial"/>
          <w:sz w:val="17"/>
          <w:szCs w:val="17"/>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manufacturing and commercialization expenses, the acquisition or licensing of other products, businesses or technologies, working capital and capital expenditures. We have not determined the amount of net proceeds to be used specifically for such purposes. As a result, management will retain broad discretion over the allocation of the net proceeds of any offering.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08"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7"/>
          <w:szCs w:val="17"/>
          <w:color w:val="auto"/>
        </w:rPr>
        <w:t>The following description summarizes the general terms and provisions of the debt securities that Climb Bio, Inc.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Climb Bio, Inc. excluding, unless the context otherwise requires or as otherwise expressly stated, its subsidiaries.</w:t>
      </w:r>
    </w:p>
    <w:p>
      <w:pPr>
        <w:spacing w:after="0" w:line="182" w:lineRule="exact"/>
        <w:rPr>
          <w:sz w:val="20"/>
          <w:szCs w:val="20"/>
          <w:color w:val="auto"/>
        </w:rPr>
      </w:pPr>
    </w:p>
    <w:p>
      <w:pPr>
        <w:ind w:left="120" w:firstLine="440"/>
        <w:spacing w:after="0" w:line="236"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84" w:lineRule="exact"/>
        <w:rPr>
          <w:sz w:val="20"/>
          <w:szCs w:val="20"/>
          <w:color w:val="auto"/>
        </w:rPr>
      </w:pPr>
    </w:p>
    <w:p>
      <w:pPr>
        <w:ind w:left="120" w:firstLine="440"/>
        <w:spacing w:after="0" w:line="249" w:lineRule="auto"/>
        <w:rPr>
          <w:sz w:val="20"/>
          <w:szCs w:val="20"/>
          <w:color w:val="auto"/>
        </w:rPr>
      </w:pPr>
      <w:r>
        <w:rPr>
          <w:rFonts w:ascii="Arial" w:cs="Arial" w:eastAsia="Arial" w:hAnsi="Arial"/>
          <w:sz w:val="17"/>
          <w:szCs w:val="17"/>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0" w:lineRule="exact"/>
        <w:rPr>
          <w:sz w:val="20"/>
          <w:szCs w:val="20"/>
          <w:color w:val="auto"/>
        </w:rPr>
      </w:pPr>
    </w:p>
    <w:p>
      <w:pPr>
        <w:ind w:left="120" w:firstLine="440"/>
        <w:spacing w:after="0" w:line="241"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unless such subsidiaries expressly guarantee such debt securities.</w:t>
      </w:r>
    </w:p>
    <w:p>
      <w:pPr>
        <w:spacing w:after="0" w:line="180" w:lineRule="exact"/>
        <w:rPr>
          <w:sz w:val="20"/>
          <w:szCs w:val="20"/>
          <w:color w:val="auto"/>
        </w:rPr>
      </w:pPr>
    </w:p>
    <w:p>
      <w:pPr>
        <w:ind w:left="120" w:right="60" w:firstLine="440"/>
        <w:spacing w:after="0" w:line="249" w:lineRule="auto"/>
        <w:rPr>
          <w:sz w:val="20"/>
          <w:szCs w:val="20"/>
          <w:color w:val="auto"/>
        </w:rPr>
      </w:pPr>
      <w:r>
        <w:rPr>
          <w:rFonts w:ascii="Arial" w:cs="Arial" w:eastAsia="Arial" w:hAnsi="Arial"/>
          <w:sz w:val="17"/>
          <w:szCs w:val="17"/>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w:t>
      </w:r>
    </w:p>
    <w:p>
      <w:pPr>
        <w:spacing w:after="0" w:line="175" w:lineRule="exact"/>
        <w:rPr>
          <w:sz w:val="20"/>
          <w:szCs w:val="20"/>
          <w:color w:val="auto"/>
        </w:rPr>
      </w:pPr>
    </w:p>
    <w:p>
      <w:pPr>
        <w:ind w:left="120" w:right="200" w:firstLine="440"/>
        <w:spacing w:after="0" w:line="267" w:lineRule="auto"/>
        <w:rPr>
          <w:sz w:val="20"/>
          <w:szCs w:val="20"/>
          <w:color w:val="auto"/>
        </w:rPr>
      </w:pPr>
      <w:r>
        <w:rPr>
          <w:rFonts w:ascii="Arial" w:cs="Arial" w:eastAsia="Arial" w:hAnsi="Arial"/>
          <w:sz w:val="17"/>
          <w:szCs w:val="17"/>
          <w:color w:val="auto"/>
        </w:rPr>
        <w:t>The applicable prospectus supplement and/or free writing prospectus will include any additional or different terms of the debt securities of any series being offered, including the following terms:</w:t>
      </w:r>
    </w:p>
    <w:p>
      <w:pPr>
        <w:spacing w:after="0" w:line="65" w:lineRule="exact"/>
        <w:rPr>
          <w:sz w:val="20"/>
          <w:szCs w:val="20"/>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title and type of the debt securities;</w:t>
      </w:r>
    </w:p>
    <w:p>
      <w:pPr>
        <w:spacing w:after="0" w:line="115" w:lineRule="exact"/>
        <w:rPr>
          <w:rFonts w:ascii="MS PGothic" w:cs="MS PGothic" w:eastAsia="MS PGothic" w:hAnsi="MS PGothic"/>
          <w:sz w:val="13"/>
          <w:szCs w:val="13"/>
          <w:color w:val="auto"/>
        </w:rPr>
      </w:pPr>
    </w:p>
    <w:p>
      <w:pPr>
        <w:ind w:left="980" w:right="280" w:hanging="432"/>
        <w:spacing w:after="0" w:line="267"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whether the debt securities will be senior or subordinated debt securities, and, with respect to any subordinated debt securities the terms on which they are subordinated;</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initial aggregate principal amount of the debt securities;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price or prices at which we will sell the debt securities;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maturity date or dates of the debt securities and the right, if any, to extend such date or dates;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rate or rates, if any, at which the debt securities will bear interest, or the method of determining such rate or rates;</w:t>
      </w:r>
    </w:p>
    <w:p>
      <w:pPr>
        <w:spacing w:after="0" w:line="115"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date or dates from which such interest will accrue, the interest payment dates on which such interest will be payable or the method of determination of such dates;</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right, if any, to extend the interest payment periods and the duration of that extension;</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manner of paying principal and interest and the place or places where principal and interest will be payable;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denominations of the debt securities if other than $2,000 or multiples of $1,000;</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provisions for a sinking fund, purchase fund or other analogous fund, if any;</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any redemption dates, prices, obligations and restrictions on the debt securities;</w:t>
      </w:r>
    </w:p>
    <w:p>
      <w:pPr>
        <w:spacing w:after="0" w:line="115" w:lineRule="exact"/>
        <w:rPr>
          <w:rFonts w:ascii="MS PGothic" w:cs="MS PGothic" w:eastAsia="MS PGothic" w:hAnsi="MS PGothic"/>
          <w:sz w:val="13"/>
          <w:szCs w:val="13"/>
          <w:color w:val="auto"/>
        </w:rPr>
      </w:pPr>
    </w:p>
    <w:p>
      <w:pPr>
        <w:ind w:left="980" w:right="260" w:hanging="432"/>
        <w:spacing w:after="0" w:line="267"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currency, currencies or currency units in which the debt securities will be denominated and the currency, currencies or currency units in which principal and interest, if any, on the debt securities may be payable;</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any conversion or exchange features of the debt securities;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whether the debt securities will be subject to the defeasance provisions in the indenture;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whether the debt securities will be guaranteed as to payment or performance;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any special tax implications of the debt securities;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any events of defaults or covenants in addition to or in lieu of those set forth in the indenture; and</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any other material terms of the debt securities.</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When we refer to “principal” in this section with reference to the debt securities, we are also referring to “premium, if any.”</w:t>
      </w:r>
    </w:p>
    <w:p>
      <w:pPr>
        <w:spacing w:after="0" w:line="210" w:lineRule="exact"/>
        <w:rPr>
          <w:sz w:val="20"/>
          <w:szCs w:val="20"/>
          <w:color w:val="auto"/>
        </w:rPr>
      </w:pPr>
    </w:p>
    <w:p>
      <w:pPr>
        <w:ind w:left="120" w:right="80" w:firstLine="440"/>
        <w:spacing w:after="0" w:line="241" w:lineRule="auto"/>
        <w:rPr>
          <w:sz w:val="20"/>
          <w:szCs w:val="20"/>
          <w:color w:val="auto"/>
        </w:rPr>
      </w:pPr>
      <w:r>
        <w:rPr>
          <w:rFonts w:ascii="Arial" w:cs="Arial" w:eastAsia="Arial" w:hAnsi="Arial"/>
          <w:sz w:val="17"/>
          <w:szCs w:val="17"/>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0"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7"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38"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00"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7"/>
          <w:szCs w:val="17"/>
          <w:i w:val="1"/>
          <w:iCs w:val="1"/>
          <w:color w:val="auto"/>
        </w:rPr>
        <w:t xml:space="preserve">Covenants. </w:t>
      </w:r>
      <w:r>
        <w:rPr>
          <w:rFonts w:ascii="Arial" w:cs="Arial" w:eastAsia="Arial" w:hAnsi="Arial"/>
          <w:sz w:val="17"/>
          <w:szCs w:val="17"/>
          <w:color w:val="auto"/>
        </w:rPr>
        <w:t>Unless we indicate otherwise in a prospectus supplement with respect to a particular series of senior debt securities,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77" w:lineRule="exact"/>
        <w:rPr>
          <w:sz w:val="20"/>
          <w:szCs w:val="20"/>
          <w:color w:val="auto"/>
        </w:rPr>
      </w:pPr>
    </w:p>
    <w:p>
      <w:pPr>
        <w:ind w:left="120" w:right="60" w:firstLine="440"/>
        <w:spacing w:after="0" w:line="249"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80"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successor entity, if any, is a U.S. corporation, limited liability company, partnership or trust;</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successor entity assumes our obligations on the senior debt securities and under the senior indenture;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immediately after giving effect to the transaction, no default or event of default shall have occurred and be continuing; and</w:t>
      </w:r>
    </w:p>
    <w:p>
      <w:pPr>
        <w:spacing w:after="0" w:line="115" w:lineRule="exact"/>
        <w:rPr>
          <w:rFonts w:ascii="MS PGothic" w:cs="MS PGothic" w:eastAsia="MS PGothic" w:hAnsi="MS PGothic"/>
          <w:sz w:val="13"/>
          <w:szCs w:val="13"/>
          <w:color w:val="auto"/>
        </w:rPr>
      </w:pPr>
    </w:p>
    <w:p>
      <w:pPr>
        <w:ind w:left="980" w:right="200" w:hanging="432"/>
        <w:spacing w:after="0" w:line="244"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77" w:lineRule="exact"/>
        <w:rPr>
          <w:sz w:val="20"/>
          <w:szCs w:val="20"/>
          <w:color w:val="auto"/>
        </w:rPr>
      </w:pPr>
    </w:p>
    <w:p>
      <w:pPr>
        <w:jc w:val="both"/>
        <w:ind w:left="120" w:right="100" w:firstLine="440"/>
        <w:spacing w:after="0" w:line="249" w:lineRule="auto"/>
        <w:rPr>
          <w:sz w:val="20"/>
          <w:szCs w:val="20"/>
          <w:color w:val="auto"/>
        </w:rPr>
      </w:pPr>
      <w:r>
        <w:rPr>
          <w:rFonts w:ascii="Arial" w:cs="Arial" w:eastAsia="Arial" w:hAnsi="Arial"/>
          <w:sz w:val="17"/>
          <w:szCs w:val="17"/>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75" w:lineRule="exact"/>
        <w:rPr>
          <w:sz w:val="20"/>
          <w:szCs w:val="20"/>
          <w:color w:val="auto"/>
        </w:rPr>
      </w:pPr>
    </w:p>
    <w:p>
      <w:pPr>
        <w:ind w:left="120" w:right="500" w:firstLine="440"/>
        <w:spacing w:after="0" w:line="267" w:lineRule="auto"/>
        <w:rPr>
          <w:sz w:val="20"/>
          <w:szCs w:val="20"/>
          <w:color w:val="auto"/>
        </w:rPr>
      </w:pPr>
      <w:r>
        <w:rPr>
          <w:rFonts w:ascii="Arial" w:cs="Arial" w:eastAsia="Arial" w:hAnsi="Arial"/>
          <w:sz w:val="17"/>
          <w:szCs w:val="17"/>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59"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7"/>
          <w:szCs w:val="17"/>
          <w:i w:val="1"/>
          <w:iCs w:val="1"/>
          <w:color w:val="auto"/>
        </w:rPr>
        <w:t xml:space="preserve">No Protection in the Event of a Change in Control. </w:t>
      </w:r>
      <w:r>
        <w:rPr>
          <w:rFonts w:ascii="Arial" w:cs="Arial" w:eastAsia="Arial" w:hAnsi="Arial"/>
          <w:sz w:val="17"/>
          <w:szCs w:val="17"/>
          <w:color w:val="auto"/>
        </w:rPr>
        <w:t>Unless we indicate otherwise in a prospectus supplement with respect to a particular</w:t>
      </w:r>
      <w:r>
        <w:rPr>
          <w:rFonts w:ascii="Arial" w:cs="Arial" w:eastAsia="Arial" w:hAnsi="Arial"/>
          <w:sz w:val="17"/>
          <w:szCs w:val="17"/>
          <w:i w:val="1"/>
          <w:iCs w:val="1"/>
          <w:color w:val="auto"/>
        </w:rPr>
        <w:t xml:space="preserve"> </w:t>
      </w:r>
      <w:r>
        <w:rPr>
          <w:rFonts w:ascii="Arial" w:cs="Arial" w:eastAsia="Arial" w:hAnsi="Arial"/>
          <w:sz w:val="17"/>
          <w:szCs w:val="17"/>
          <w:color w:val="auto"/>
        </w:rPr>
        <w:t>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440"/>
        <w:spacing w:after="0" w:line="267"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Unless we indicate otherwise in a prospectus supplement with respect to a particular series of senior debt securities,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are events of default under the senior indenture with respect to senior debt securities of each series:</w:t>
      </w:r>
    </w:p>
    <w:p>
      <w:pPr>
        <w:spacing w:after="0" w:line="65" w:lineRule="exact"/>
        <w:rPr>
          <w:sz w:val="20"/>
          <w:szCs w:val="20"/>
          <w:color w:val="auto"/>
        </w:rPr>
      </w:pPr>
    </w:p>
    <w:p>
      <w:pPr>
        <w:ind w:left="980" w:right="280" w:hanging="432"/>
        <w:spacing w:after="0" w:line="267"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failure to pay interest on any senior debt securities of such series when due and payable, if that default continues for a period of 30 days (or such other period as may be specified for such series);</w:t>
      </w:r>
    </w:p>
    <w:p>
      <w:pPr>
        <w:spacing w:after="0" w:line="64" w:lineRule="exact"/>
        <w:rPr>
          <w:rFonts w:ascii="MS PGothic" w:cs="MS PGothic" w:eastAsia="MS PGothic" w:hAnsi="MS PGothic"/>
          <w:sz w:val="13"/>
          <w:szCs w:val="13"/>
          <w:color w:val="auto"/>
        </w:rPr>
      </w:pPr>
    </w:p>
    <w:p>
      <w:pPr>
        <w:ind w:left="980" w:right="280" w:hanging="432"/>
        <w:spacing w:after="0" w:line="267"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4" w:lineRule="exact"/>
        <w:rPr>
          <w:rFonts w:ascii="MS PGothic" w:cs="MS PGothic" w:eastAsia="MS PGothic" w:hAnsi="MS PGothic"/>
          <w:sz w:val="13"/>
          <w:szCs w:val="13"/>
          <w:color w:val="auto"/>
        </w:rPr>
      </w:pPr>
    </w:p>
    <w:p>
      <w:pPr>
        <w:ind w:left="980" w:right="80" w:hanging="432"/>
        <w:spacing w:after="0" w:line="244"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8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certain events of bankruptcy or insolvency, whether or not voluntary; and</w:t>
      </w:r>
    </w:p>
    <w:p>
      <w:pPr>
        <w:spacing w:after="0" w:line="115" w:lineRule="exact"/>
        <w:rPr>
          <w:rFonts w:ascii="MS PGothic" w:cs="MS PGothic" w:eastAsia="MS PGothic" w:hAnsi="MS PGothic"/>
          <w:sz w:val="13"/>
          <w:szCs w:val="13"/>
          <w:color w:val="auto"/>
        </w:rPr>
      </w:pPr>
    </w:p>
    <w:p>
      <w:pPr>
        <w:ind w:left="980" w:right="600" w:hanging="432"/>
        <w:spacing w:after="0" w:line="267"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any other event of default provided for in such series of senior debt securities as may be specified in the applicable prospectus supplement.</w:t>
      </w:r>
    </w:p>
    <w:p>
      <w:pPr>
        <w:spacing w:after="0" w:line="15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Unless we indicate otherwise in a prospectus supplement with respect to a particular series of senior debt securities, the default by us under any other debt, including any other series of our debt securities, is not a default under the senior indenture.</w:t>
      </w:r>
    </w:p>
    <w:p>
      <w:pPr>
        <w:spacing w:after="0" w:line="159" w:lineRule="exact"/>
        <w:rPr>
          <w:sz w:val="20"/>
          <w:szCs w:val="20"/>
          <w:color w:val="auto"/>
        </w:rPr>
      </w:pPr>
    </w:p>
    <w:p>
      <w:pPr>
        <w:ind w:left="120" w:right="220" w:firstLine="440"/>
        <w:spacing w:after="0" w:line="239" w:lineRule="auto"/>
        <w:rPr>
          <w:sz w:val="20"/>
          <w:szCs w:val="20"/>
          <w:color w:val="auto"/>
        </w:rPr>
      </w:pPr>
      <w:r>
        <w:rPr>
          <w:rFonts w:ascii="Arial" w:cs="Arial" w:eastAsia="Arial" w:hAnsi="Arial"/>
          <w:sz w:val="17"/>
          <w:szCs w:val="17"/>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82" w:lineRule="exact"/>
        <w:rPr>
          <w:sz w:val="20"/>
          <w:szCs w:val="20"/>
          <w:color w:val="auto"/>
        </w:rPr>
      </w:pPr>
    </w:p>
    <w:p>
      <w:pPr>
        <w:ind w:left="120" w:right="180" w:firstLine="440"/>
        <w:spacing w:after="0" w:line="267" w:lineRule="auto"/>
        <w:rPr>
          <w:sz w:val="20"/>
          <w:szCs w:val="20"/>
          <w:color w:val="auto"/>
        </w:rPr>
      </w:pPr>
      <w:r>
        <w:rPr>
          <w:rFonts w:ascii="Arial" w:cs="Arial" w:eastAsia="Arial" w:hAnsi="Arial"/>
          <w:sz w:val="17"/>
          <w:szCs w:val="17"/>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59" w:lineRule="exact"/>
        <w:rPr>
          <w:sz w:val="20"/>
          <w:szCs w:val="20"/>
          <w:color w:val="auto"/>
        </w:rPr>
      </w:pPr>
    </w:p>
    <w:p>
      <w:pPr>
        <w:ind w:left="120" w:right="360" w:firstLine="440"/>
        <w:spacing w:after="0" w:line="249" w:lineRule="auto"/>
        <w:rPr>
          <w:sz w:val="20"/>
          <w:szCs w:val="20"/>
          <w:color w:val="auto"/>
        </w:rPr>
      </w:pPr>
      <w:r>
        <w:rPr>
          <w:rFonts w:ascii="Arial" w:cs="Arial" w:eastAsia="Arial" w:hAnsi="Arial"/>
          <w:sz w:val="17"/>
          <w:szCs w:val="17"/>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7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7"/>
          <w:szCs w:val="17"/>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88"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holder gives the trustee written notice of a continuing event of default;</w:t>
      </w:r>
    </w:p>
    <w:p>
      <w:pPr>
        <w:spacing w:after="0" w:line="115" w:lineRule="exact"/>
        <w:rPr>
          <w:rFonts w:ascii="MS PGothic" w:cs="MS PGothic" w:eastAsia="MS PGothic" w:hAnsi="MS PGothic"/>
          <w:sz w:val="13"/>
          <w:szCs w:val="13"/>
          <w:color w:val="auto"/>
        </w:rPr>
      </w:pPr>
    </w:p>
    <w:p>
      <w:pPr>
        <w:ind w:left="980" w:right="20" w:hanging="432"/>
        <w:spacing w:after="0" w:line="267"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holders of at least 25% in aggregate principal amount of such series of senior debt securities make a written request to the trustee to pursue the remedy in respect of such event of default;</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requesting holder or holders offer the trustee indemnity satisfactory to the trustee against any costs, liability or expense;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trustee does not comply with the request within 60 days after receipt of the request and the offer of indemnity; and</w:t>
      </w:r>
    </w:p>
    <w:p>
      <w:pPr>
        <w:spacing w:after="0" w:line="115"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during such 60-day period, the holders of a majority in aggregate principal amount of such series of senior debt securities do not give the trustee a direction that is inconsistent with the request.</w:t>
      </w:r>
    </w:p>
    <w:p>
      <w:pPr>
        <w:spacing w:after="0" w:line="159" w:lineRule="exact"/>
        <w:rPr>
          <w:sz w:val="20"/>
          <w:szCs w:val="20"/>
          <w:color w:val="auto"/>
        </w:rPr>
      </w:pPr>
    </w:p>
    <w:p>
      <w:pPr>
        <w:ind w:left="120" w:firstLine="440"/>
        <w:spacing w:after="0" w:line="244" w:lineRule="auto"/>
        <w:rPr>
          <w:sz w:val="20"/>
          <w:szCs w:val="20"/>
          <w:color w:val="auto"/>
        </w:rPr>
      </w:pPr>
      <w:r>
        <w:rPr>
          <w:rFonts w:ascii="Arial" w:cs="Arial" w:eastAsia="Arial" w:hAnsi="Arial"/>
          <w:sz w:val="17"/>
          <w:szCs w:val="17"/>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77" w:lineRule="exact"/>
        <w:rPr>
          <w:sz w:val="20"/>
          <w:szCs w:val="20"/>
          <w:color w:val="auto"/>
        </w:rPr>
      </w:pPr>
    </w:p>
    <w:p>
      <w:pPr>
        <w:ind w:left="120" w:right="380" w:firstLine="440"/>
        <w:spacing w:after="0" w:line="267" w:lineRule="auto"/>
        <w:rPr>
          <w:sz w:val="20"/>
          <w:szCs w:val="20"/>
          <w:color w:val="auto"/>
        </w:rPr>
      </w:pPr>
      <w:r>
        <w:rPr>
          <w:rFonts w:ascii="Arial" w:cs="Arial" w:eastAsia="Arial" w:hAnsi="Arial"/>
          <w:sz w:val="17"/>
          <w:szCs w:val="17"/>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Satisfaction and Discharge</w:t>
      </w:r>
      <w:r>
        <w:rPr>
          <w:rFonts w:ascii="Arial" w:cs="Arial" w:eastAsia="Arial" w:hAnsi="Arial"/>
          <w:sz w:val="17"/>
          <w:szCs w:val="17"/>
          <w:color w:val="auto"/>
        </w:rPr>
        <w:t>. We can satisfy and discharge our obligations to holders of any series of debt securities if:</w:t>
      </w:r>
    </w:p>
    <w:p>
      <w:pPr>
        <w:spacing w:after="0" w:line="115" w:lineRule="exact"/>
        <w:rPr>
          <w:sz w:val="20"/>
          <w:szCs w:val="20"/>
          <w:color w:val="auto"/>
        </w:rPr>
      </w:pPr>
    </w:p>
    <w:p>
      <w:pPr>
        <w:ind w:left="980" w:right="680" w:hanging="432"/>
        <w:spacing w:after="0" w:line="267"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we have paid or caused to be paid the principal of and interest on all senior debt securities of such series (with certain limited exceptions) when due and payable; or</w:t>
      </w:r>
    </w:p>
    <w:p>
      <w:pPr>
        <w:spacing w:after="0" w:line="64" w:lineRule="exact"/>
        <w:rPr>
          <w:rFonts w:ascii="MS PGothic" w:cs="MS PGothic" w:eastAsia="MS PGothic" w:hAnsi="MS PGothic"/>
          <w:sz w:val="13"/>
          <w:szCs w:val="13"/>
          <w:color w:val="auto"/>
        </w:rPr>
      </w:pPr>
    </w:p>
    <w:p>
      <w:pPr>
        <w:ind w:left="980" w:right="380" w:hanging="432"/>
        <w:spacing w:after="0" w:line="267"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we deliver to the senior trustee for cancellation all senior debt securities of such series theretofore authenticated under the senior indenture (with certain limited exceptions); or</w:t>
      </w:r>
    </w:p>
    <w:p>
      <w:pPr>
        <w:spacing w:after="0" w:line="64" w:lineRule="exact"/>
        <w:rPr>
          <w:rFonts w:ascii="MS PGothic" w:cs="MS PGothic" w:eastAsia="MS PGothic" w:hAnsi="MS PGothic"/>
          <w:sz w:val="13"/>
          <w:szCs w:val="13"/>
          <w:color w:val="auto"/>
        </w:rPr>
      </w:pPr>
    </w:p>
    <w:p>
      <w:pPr>
        <w:ind w:left="980" w:hanging="432"/>
        <w:spacing w:after="0" w:line="241"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80" w:lineRule="exact"/>
        <w:rPr>
          <w:sz w:val="20"/>
          <w:szCs w:val="20"/>
          <w:color w:val="auto"/>
        </w:rPr>
      </w:pPr>
    </w:p>
    <w:p>
      <w:pPr>
        <w:ind w:left="120" w:right="120"/>
        <w:spacing w:after="0" w:line="249" w:lineRule="auto"/>
        <w:rPr>
          <w:sz w:val="20"/>
          <w:szCs w:val="20"/>
          <w:color w:val="auto"/>
        </w:rPr>
      </w:pPr>
      <w:r>
        <w:rPr>
          <w:rFonts w:ascii="Arial" w:cs="Arial" w:eastAsia="Arial" w:hAnsi="Arial"/>
          <w:sz w:val="17"/>
          <w:szCs w:val="17"/>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75" w:lineRule="exact"/>
        <w:rPr>
          <w:sz w:val="20"/>
          <w:szCs w:val="20"/>
          <w:color w:val="auto"/>
        </w:rPr>
      </w:pPr>
    </w:p>
    <w:p>
      <w:pPr>
        <w:ind w:left="120" w:right="240" w:firstLine="440"/>
        <w:spacing w:after="0" w:line="267" w:lineRule="auto"/>
        <w:rPr>
          <w:sz w:val="20"/>
          <w:szCs w:val="20"/>
          <w:color w:val="auto"/>
        </w:rPr>
      </w:pPr>
      <w:r>
        <w:rPr>
          <w:rFonts w:ascii="Arial" w:cs="Arial" w:eastAsia="Arial" w:hAnsi="Arial"/>
          <w:sz w:val="17"/>
          <w:szCs w:val="17"/>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75" w:lineRule="exact"/>
        <w:rPr>
          <w:sz w:val="20"/>
          <w:szCs w:val="20"/>
          <w:color w:val="auto"/>
        </w:rPr>
      </w:pPr>
    </w:p>
    <w:p>
      <w:pPr>
        <w:ind w:left="120" w:right="100" w:firstLine="440"/>
        <w:spacing w:after="0" w:line="267"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Unless the applicable prospectus supplement provides otherwise, the following discussion of legal defeasance and covenant</w:t>
      </w:r>
      <w:r>
        <w:rPr>
          <w:rFonts w:ascii="Arial" w:cs="Arial" w:eastAsia="Arial" w:hAnsi="Arial"/>
          <w:sz w:val="17"/>
          <w:szCs w:val="17"/>
          <w:i w:val="1"/>
          <w:iCs w:val="1"/>
          <w:color w:val="auto"/>
        </w:rPr>
        <w:t xml:space="preserve"> </w:t>
      </w:r>
      <w:r>
        <w:rPr>
          <w:rFonts w:ascii="Arial" w:cs="Arial" w:eastAsia="Arial" w:hAnsi="Arial"/>
          <w:sz w:val="17"/>
          <w:szCs w:val="17"/>
          <w:color w:val="auto"/>
        </w:rPr>
        <w:t>defeasance will apply to any series of debt securities issued under the indentures.</w:t>
      </w:r>
    </w:p>
    <w:p>
      <w:pPr>
        <w:spacing w:after="0" w:line="159" w:lineRule="exact"/>
        <w:rPr>
          <w:sz w:val="20"/>
          <w:szCs w:val="20"/>
          <w:color w:val="auto"/>
        </w:rPr>
      </w:pPr>
    </w:p>
    <w:p>
      <w:pPr>
        <w:ind w:left="120" w:right="380" w:firstLine="440"/>
        <w:spacing w:after="0" w:line="267"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We can legally release ourselves from any payment or other obligations on the debt securities of any series (called</w:t>
      </w:r>
      <w:r>
        <w:rPr>
          <w:rFonts w:ascii="Arial" w:cs="Arial" w:eastAsia="Arial" w:hAnsi="Arial"/>
          <w:sz w:val="17"/>
          <w:szCs w:val="17"/>
          <w:i w:val="1"/>
          <w:iCs w:val="1"/>
          <w:color w:val="auto"/>
        </w:rPr>
        <w:t xml:space="preserve"> </w:t>
      </w:r>
      <w:r>
        <w:rPr>
          <w:rFonts w:ascii="Arial" w:cs="Arial" w:eastAsia="Arial" w:hAnsi="Arial"/>
          <w:sz w:val="17"/>
          <w:szCs w:val="17"/>
          <w:color w:val="auto"/>
        </w:rPr>
        <w:t>“legal defeasance”) if certain conditions are met, including the following:</w:t>
      </w:r>
    </w:p>
    <w:p>
      <w:pPr>
        <w:spacing w:after="0" w:line="65" w:lineRule="exact"/>
        <w:rPr>
          <w:sz w:val="20"/>
          <w:szCs w:val="20"/>
          <w:color w:val="auto"/>
        </w:rPr>
      </w:pPr>
    </w:p>
    <w:p>
      <w:pPr>
        <w:ind w:left="980" w:right="140" w:hanging="432"/>
        <w:spacing w:after="0" w:line="244"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2"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5"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We deliver to the trustee a legal opinion of our counsel confirming the tax law change or ruling described above.</w:t>
      </w:r>
    </w:p>
    <w:p>
      <w:pPr>
        <w:spacing w:after="0" w:line="210" w:lineRule="exact"/>
        <w:rPr>
          <w:sz w:val="20"/>
          <w:szCs w:val="20"/>
          <w:color w:val="auto"/>
        </w:rPr>
      </w:pPr>
    </w:p>
    <w:p>
      <w:pPr>
        <w:ind w:left="120" w:right="580" w:firstLine="440"/>
        <w:spacing w:after="0" w:line="267" w:lineRule="auto"/>
        <w:rPr>
          <w:sz w:val="20"/>
          <w:szCs w:val="20"/>
          <w:color w:val="auto"/>
        </w:rPr>
      </w:pPr>
      <w:r>
        <w:rPr>
          <w:rFonts w:ascii="Arial" w:cs="Arial" w:eastAsia="Arial" w:hAnsi="Arial"/>
          <w:sz w:val="17"/>
          <w:szCs w:val="17"/>
          <w:color w:val="auto"/>
        </w:rPr>
        <w:t>If we accomplish legal defeasance, as described above, you would have to rely solely on the trust deposit for repayment of the debt securities. You could not look to us for repayment in the event of any shortfall.</w:t>
      </w:r>
    </w:p>
    <w:p>
      <w:pPr>
        <w:spacing w:after="0" w:line="159"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7"/>
          <w:szCs w:val="17"/>
          <w:i w:val="1"/>
          <w:iCs w:val="1"/>
          <w:color w:val="auto"/>
        </w:rPr>
        <w:t>Covenant Defeasance</w:t>
      </w:r>
      <w:r>
        <w:rPr>
          <w:rFonts w:ascii="Arial" w:cs="Arial" w:eastAsia="Arial" w:hAnsi="Arial"/>
          <w:sz w:val="17"/>
          <w:szCs w:val="17"/>
          <w:color w:val="auto"/>
        </w:rPr>
        <w:t>. Without any change in current U.S. federal tax law, we can make the same type of deposit described above and be</w:t>
      </w:r>
      <w:r>
        <w:rPr>
          <w:rFonts w:ascii="Arial" w:cs="Arial" w:eastAsia="Arial" w:hAnsi="Arial"/>
          <w:sz w:val="17"/>
          <w:szCs w:val="17"/>
          <w:i w:val="1"/>
          <w:iCs w:val="1"/>
          <w:color w:val="auto"/>
        </w:rPr>
        <w:t xml:space="preserve"> </w:t>
      </w:r>
      <w:r>
        <w:rPr>
          <w:rFonts w:ascii="Arial" w:cs="Arial" w:eastAsia="Arial" w:hAnsi="Arial"/>
          <w:sz w:val="17"/>
          <w:szCs w:val="17"/>
          <w:color w:val="auto"/>
        </w:rPr>
        <w:t>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83" w:lineRule="exact"/>
        <w:rPr>
          <w:sz w:val="20"/>
          <w:szCs w:val="20"/>
          <w:color w:val="auto"/>
        </w:rPr>
      </w:pPr>
    </w:p>
    <w:p>
      <w:pPr>
        <w:ind w:left="980" w:right="140" w:hanging="432"/>
        <w:spacing w:after="0" w:line="244"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82" w:lineRule="exact"/>
        <w:rPr>
          <w:rFonts w:ascii="MS PGothic" w:cs="MS PGothic" w:eastAsia="MS PGothic" w:hAnsi="MS PGothic"/>
          <w:sz w:val="13"/>
          <w:szCs w:val="13"/>
          <w:color w:val="auto"/>
        </w:rPr>
      </w:pPr>
    </w:p>
    <w:p>
      <w:pPr>
        <w:ind w:left="980" w:hanging="432"/>
        <w:spacing w:after="0" w:line="249"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75" w:lineRule="exact"/>
        <w:rPr>
          <w:sz w:val="20"/>
          <w:szCs w:val="20"/>
          <w:color w:val="auto"/>
        </w:rPr>
      </w:pPr>
    </w:p>
    <w:p>
      <w:pPr>
        <w:ind w:left="120" w:right="160" w:firstLine="440"/>
        <w:spacing w:after="0" w:line="249"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60"/>
          </w:cols>
          <w:pgMar w:left="320" w:top="455"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20" w:firstLine="440"/>
        <w:spacing w:after="0" w:line="267"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We and the trustee may amend or supplement the senior indenture or the senior debt securities of any series</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consent of any holder:</w:t>
      </w:r>
    </w:p>
    <w:p>
      <w:pPr>
        <w:spacing w:after="0" w:line="65"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convey, transfer, assign, mortgage or pledge any assets as security for the senior debt securities of one or more series;</w:t>
      </w:r>
    </w:p>
    <w:p>
      <w:pPr>
        <w:spacing w:after="0" w:line="115" w:lineRule="exact"/>
        <w:rPr>
          <w:rFonts w:ascii="MS PGothic" w:cs="MS PGothic" w:eastAsia="MS PGothic" w:hAnsi="MS PGothic"/>
          <w:sz w:val="13"/>
          <w:szCs w:val="13"/>
          <w:color w:val="auto"/>
        </w:rPr>
      </w:pPr>
    </w:p>
    <w:p>
      <w:pPr>
        <w:ind w:left="980" w:hanging="432"/>
        <w:spacing w:after="0" w:line="249"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0" w:lineRule="exact"/>
        <w:rPr>
          <w:rFonts w:ascii="MS PGothic" w:cs="MS PGothic" w:eastAsia="MS PGothic" w:hAnsi="MS PGothic"/>
          <w:sz w:val="13"/>
          <w:szCs w:val="13"/>
          <w:color w:val="auto"/>
        </w:rPr>
      </w:pPr>
    </w:p>
    <w:p>
      <w:pPr>
        <w:ind w:left="980" w:right="500" w:hanging="432"/>
        <w:spacing w:after="0" w:line="267"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comply with the requirements of the SEC in order to effect or maintain the qualification of the senior indenture under the Trust Indenture Act of 1939, as amended (the “Trust Indenture Act”);</w:t>
      </w:r>
    </w:p>
    <w:p>
      <w:pPr>
        <w:spacing w:after="0" w:line="64" w:lineRule="exact"/>
        <w:rPr>
          <w:rFonts w:ascii="MS PGothic" w:cs="MS PGothic" w:eastAsia="MS PGothic" w:hAnsi="MS PGothic"/>
          <w:sz w:val="13"/>
          <w:szCs w:val="13"/>
          <w:color w:val="auto"/>
        </w:rPr>
      </w:pPr>
    </w:p>
    <w:p>
      <w:pPr>
        <w:ind w:left="980" w:right="80" w:hanging="432"/>
        <w:spacing w:after="0" w:line="249"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0" w:lineRule="exact"/>
        <w:rPr>
          <w:rFonts w:ascii="MS PGothic" w:cs="MS PGothic" w:eastAsia="MS PGothic" w:hAnsi="MS PGothic"/>
          <w:sz w:val="13"/>
          <w:szCs w:val="13"/>
          <w:color w:val="auto"/>
        </w:rPr>
      </w:pPr>
    </w:p>
    <w:p>
      <w:pPr>
        <w:ind w:left="980" w:right="420" w:hanging="432"/>
        <w:spacing w:after="0" w:line="249"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0"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provide for or add guarantors with respect to the senior debt securities of any series;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establish the form or forms or terms of the senior debt securities as permitted by the senior indenture;</w:t>
      </w:r>
    </w:p>
    <w:p>
      <w:pPr>
        <w:spacing w:after="0" w:line="115" w:lineRule="exact"/>
        <w:rPr>
          <w:rFonts w:ascii="MS PGothic" w:cs="MS PGothic" w:eastAsia="MS PGothic" w:hAnsi="MS PGothic"/>
          <w:sz w:val="13"/>
          <w:szCs w:val="13"/>
          <w:color w:val="auto"/>
        </w:rPr>
      </w:pPr>
    </w:p>
    <w:p>
      <w:pPr>
        <w:ind w:left="980" w:right="440" w:hanging="432"/>
        <w:spacing w:after="0" w:line="249"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80"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85"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 make any change that does not adversely affect the rights of any holder in any material respect.</w:t>
      </w:r>
    </w:p>
    <w:p>
      <w:pPr>
        <w:spacing w:after="0" w:line="210" w:lineRule="exact"/>
        <w:rPr>
          <w:sz w:val="20"/>
          <w:szCs w:val="20"/>
          <w:color w:val="auto"/>
        </w:rPr>
      </w:pPr>
    </w:p>
    <w:p>
      <w:pPr>
        <w:ind w:left="120" w:right="260" w:firstLine="440"/>
        <w:spacing w:after="0" w:line="244"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3"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extends the final maturity of any senior debt securities of such series;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reduces the principal amount of any senior debt securities of such series;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reduces the rate, or extends the time for payment of, interest on any senior debt securities of such series;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reduces the amount payable upon the redemption of any senior debt securities of such series;</w:t>
      </w:r>
    </w:p>
    <w:p>
      <w:pPr>
        <w:spacing w:after="0" w:line="115" w:lineRule="exact"/>
        <w:rPr>
          <w:rFonts w:ascii="MS PGothic" w:cs="MS PGothic" w:eastAsia="MS PGothic" w:hAnsi="MS PGothic"/>
          <w:sz w:val="13"/>
          <w:szCs w:val="13"/>
          <w:color w:val="auto"/>
        </w:rPr>
      </w:pPr>
    </w:p>
    <w:p>
      <w:pPr>
        <w:ind w:left="5540" w:right="2380" w:hanging="4992"/>
        <w:spacing w:after="0" w:line="447" w:lineRule="auto"/>
        <w:tabs>
          <w:tab w:leader="none" w:pos="986"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 xml:space="preserve">changes the currency of payment of principal of or interest on any senior debt securities of such series; </w:t>
      </w:r>
      <w:r>
        <w:rPr>
          <w:rFonts w:ascii="Arial" w:cs="Arial" w:eastAsia="Arial" w:hAnsi="Arial"/>
          <w:sz w:val="16"/>
          <w:szCs w:val="16"/>
          <w:color w:val="auto"/>
        </w:rPr>
        <w:t>15</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right="340" w:hanging="432"/>
        <w:spacing w:after="0" w:line="267"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reduces the principal amount of original issue discount securities payable upon acceleration of maturity or the amount provable in bankruptcy;</w:t>
      </w:r>
    </w:p>
    <w:p>
      <w:pPr>
        <w:spacing w:after="0" w:line="64" w:lineRule="exact"/>
        <w:rPr>
          <w:rFonts w:ascii="MS PGothic" w:cs="MS PGothic" w:eastAsia="MS PGothic" w:hAnsi="MS PGothic"/>
          <w:sz w:val="13"/>
          <w:szCs w:val="13"/>
          <w:color w:val="auto"/>
        </w:rPr>
      </w:pPr>
    </w:p>
    <w:p>
      <w:pPr>
        <w:ind w:left="980" w:right="480" w:hanging="432"/>
        <w:spacing w:after="0" w:line="267"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waives a continuing default in the payment of principal of or interest on the senior debt securities (other than any such default in payment resulting solely from an acceleration of the senior debt securities);</w:t>
      </w:r>
    </w:p>
    <w:p>
      <w:pPr>
        <w:spacing w:after="0" w:line="64" w:lineRule="exact"/>
        <w:rPr>
          <w:rFonts w:ascii="MS PGothic" w:cs="MS PGothic" w:eastAsia="MS PGothic" w:hAnsi="MS PGothic"/>
          <w:sz w:val="13"/>
          <w:szCs w:val="13"/>
          <w:color w:val="auto"/>
        </w:rPr>
      </w:pPr>
    </w:p>
    <w:p>
      <w:pPr>
        <w:ind w:left="980" w:right="180" w:hanging="432"/>
        <w:spacing w:after="0" w:line="267"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4" w:lineRule="exact"/>
        <w:rPr>
          <w:rFonts w:ascii="MS PGothic" w:cs="MS PGothic" w:eastAsia="MS PGothic" w:hAnsi="MS PGothic"/>
          <w:sz w:val="13"/>
          <w:szCs w:val="13"/>
          <w:color w:val="auto"/>
        </w:rPr>
      </w:pPr>
    </w:p>
    <w:p>
      <w:pPr>
        <w:jc w:val="both"/>
        <w:ind w:left="980" w:right="80" w:hanging="432"/>
        <w:spacing w:after="0" w:line="249"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0"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adversely affects the right to convert or exchange senior debt securities into common stock, other securities or property in accordance with the terms of the senior debt securities; or</w:t>
      </w:r>
    </w:p>
    <w:p>
      <w:pPr>
        <w:spacing w:after="0" w:line="64" w:lineRule="exact"/>
        <w:rPr>
          <w:rFonts w:ascii="MS PGothic" w:cs="MS PGothic" w:eastAsia="MS PGothic" w:hAnsi="MS PGothic"/>
          <w:sz w:val="13"/>
          <w:szCs w:val="13"/>
          <w:color w:val="auto"/>
        </w:rPr>
      </w:pPr>
    </w:p>
    <w:p>
      <w:pPr>
        <w:ind w:left="980" w:right="840" w:hanging="432"/>
        <w:spacing w:after="0" w:line="267"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59" w:lineRule="exact"/>
        <w:rPr>
          <w:sz w:val="20"/>
          <w:szCs w:val="20"/>
          <w:color w:val="auto"/>
        </w:rPr>
      </w:pPr>
    </w:p>
    <w:p>
      <w:pPr>
        <w:ind w:left="120" w:right="120" w:firstLine="440"/>
        <w:spacing w:after="0" w:line="241" w:lineRule="auto"/>
        <w:rPr>
          <w:sz w:val="20"/>
          <w:szCs w:val="20"/>
          <w:color w:val="auto"/>
        </w:rPr>
      </w:pPr>
      <w:r>
        <w:rPr>
          <w:rFonts w:ascii="Arial" w:cs="Arial" w:eastAsia="Arial" w:hAnsi="Arial"/>
          <w:sz w:val="17"/>
          <w:szCs w:val="17"/>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7"/>
          <w:szCs w:val="17"/>
          <w:i w:val="1"/>
          <w:iCs w:val="1"/>
          <w:color w:val="auto"/>
        </w:rPr>
        <w:t xml:space="preserve">Notice of Redemption. </w:t>
      </w:r>
      <w:r>
        <w:rPr>
          <w:rFonts w:ascii="Arial" w:cs="Arial" w:eastAsia="Arial" w:hAnsi="Arial"/>
          <w:sz w:val="17"/>
          <w:szCs w:val="17"/>
          <w:color w:val="auto"/>
        </w:rPr>
        <w:t>Notice of any redemption of senior debt securities will be mailed at least 10 days but not more than 60 days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82" w:lineRule="exact"/>
        <w:rPr>
          <w:sz w:val="20"/>
          <w:szCs w:val="20"/>
          <w:color w:val="auto"/>
        </w:rPr>
      </w:pPr>
    </w:p>
    <w:p>
      <w:pPr>
        <w:ind w:left="120" w:right="40" w:firstLine="440"/>
        <w:spacing w:after="0" w:line="249" w:lineRule="auto"/>
        <w:rPr>
          <w:sz w:val="20"/>
          <w:szCs w:val="20"/>
          <w:color w:val="auto"/>
        </w:rPr>
      </w:pPr>
      <w:r>
        <w:rPr>
          <w:rFonts w:ascii="Arial" w:cs="Arial" w:eastAsia="Arial" w:hAnsi="Arial"/>
          <w:sz w:val="17"/>
          <w:szCs w:val="17"/>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75"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We will describe the terms upon which senior debt securities may be convertible into our common stock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82" w:lineRule="exact"/>
        <w:rPr>
          <w:sz w:val="20"/>
          <w:szCs w:val="20"/>
          <w:color w:val="auto"/>
        </w:rPr>
      </w:pPr>
    </w:p>
    <w:p>
      <w:pPr>
        <w:ind w:left="120" w:right="380" w:firstLine="440"/>
        <w:spacing w:after="0" w:line="267" w:lineRule="auto"/>
        <w:rPr>
          <w:sz w:val="20"/>
          <w:szCs w:val="20"/>
          <w:color w:val="auto"/>
        </w:rPr>
      </w:pPr>
      <w:r>
        <w:rPr>
          <w:rFonts w:ascii="Arial" w:cs="Arial" w:eastAsia="Arial" w:hAnsi="Arial"/>
          <w:sz w:val="17"/>
          <w:szCs w:val="17"/>
          <w:i w:val="1"/>
          <w:iCs w:val="1"/>
          <w:color w:val="auto"/>
        </w:rPr>
        <w:t xml:space="preserve">No Personal Liability of Incorporators, Stockholders, Officers, or Directors. </w:t>
      </w:r>
      <w:r>
        <w:rPr>
          <w:rFonts w:ascii="Arial" w:cs="Arial" w:eastAsia="Arial" w:hAnsi="Arial"/>
          <w:sz w:val="17"/>
          <w:szCs w:val="17"/>
          <w:color w:val="auto"/>
        </w:rPr>
        <w:t>The senior indenture provides that no recourse shall be had</w:t>
      </w:r>
      <w:r>
        <w:rPr>
          <w:rFonts w:ascii="Arial" w:cs="Arial" w:eastAsia="Arial" w:hAnsi="Arial"/>
          <w:sz w:val="17"/>
          <w:szCs w:val="17"/>
          <w:i w:val="1"/>
          <w:iCs w:val="1"/>
          <w:color w:val="auto"/>
        </w:rPr>
        <w:t xml:space="preserve"> </w:t>
      </w:r>
      <w:r>
        <w:rPr>
          <w:rFonts w:ascii="Arial" w:cs="Arial" w:eastAsia="Arial" w:hAnsi="Arial"/>
          <w:sz w:val="17"/>
          <w:szCs w:val="17"/>
          <w:color w:val="auto"/>
        </w:rPr>
        <w:t>under any obligation, covenant or agreement of ours in the senior indenture or any</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7"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7"/>
          <w:szCs w:val="17"/>
          <w:i w:val="1"/>
          <w:iCs w:val="1"/>
          <w:color w:val="auto"/>
        </w:rPr>
        <w:t xml:space="preserve">Concerning the Trustee. </w:t>
      </w:r>
      <w:r>
        <w:rPr>
          <w:rFonts w:ascii="Arial" w:cs="Arial" w:eastAsia="Arial" w:hAnsi="Arial"/>
          <w:sz w:val="17"/>
          <w:szCs w:val="17"/>
          <w:color w:val="auto"/>
        </w:rPr>
        <w:t>The senior indenture provides that, except during the continuance of an event of default, the trustee will not be</w:t>
      </w:r>
      <w:r>
        <w:rPr>
          <w:rFonts w:ascii="Arial" w:cs="Arial" w:eastAsia="Arial" w:hAnsi="Arial"/>
          <w:sz w:val="17"/>
          <w:szCs w:val="17"/>
          <w:i w:val="1"/>
          <w:iCs w:val="1"/>
          <w:color w:val="auto"/>
        </w:rPr>
        <w:t xml:space="preserve"> </w:t>
      </w:r>
      <w:r>
        <w:rPr>
          <w:rFonts w:ascii="Arial" w:cs="Arial" w:eastAsia="Arial" w:hAnsi="Arial"/>
          <w:sz w:val="17"/>
          <w:szCs w:val="17"/>
          <w:color w:val="auto"/>
        </w:rPr>
        <w:t>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7"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have normal banking relationships with the senior trustee in the ordinary course of business.</w:t>
      </w:r>
    </w:p>
    <w:p>
      <w:pPr>
        <w:spacing w:after="0" w:line="210" w:lineRule="exact"/>
        <w:rPr>
          <w:sz w:val="20"/>
          <w:szCs w:val="20"/>
          <w:color w:val="auto"/>
        </w:rPr>
      </w:pPr>
    </w:p>
    <w:p>
      <w:pPr>
        <w:ind w:left="120" w:right="220" w:firstLine="440"/>
        <w:spacing w:after="0" w:line="244" w:lineRule="auto"/>
        <w:rPr>
          <w:sz w:val="20"/>
          <w:szCs w:val="20"/>
          <w:color w:val="auto"/>
        </w:rPr>
      </w:pPr>
      <w:r>
        <w:rPr>
          <w:rFonts w:ascii="Arial" w:cs="Arial" w:eastAsia="Arial" w:hAnsi="Arial"/>
          <w:sz w:val="17"/>
          <w:szCs w:val="17"/>
          <w:i w:val="1"/>
          <w:iCs w:val="1"/>
          <w:color w:val="auto"/>
        </w:rPr>
        <w:t xml:space="preserve">Unclaimed Funds. </w:t>
      </w:r>
      <w:r>
        <w:rPr>
          <w:rFonts w:ascii="Arial" w:cs="Arial" w:eastAsia="Arial" w:hAnsi="Arial"/>
          <w:sz w:val="17"/>
          <w:szCs w:val="17"/>
          <w:color w:val="auto"/>
        </w:rPr>
        <w:t>All funds deposited with the trustee or any paying agent for the payment of principal, premium, interest 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77"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senior indenture and the senior debt securities will be governed by, and construed in accordance with, the internal laws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State of New York.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00" w:lineRule="exact"/>
        <w:rPr>
          <w:sz w:val="20"/>
          <w:szCs w:val="20"/>
          <w:color w:val="auto"/>
        </w:rPr>
      </w:pPr>
    </w:p>
    <w:p>
      <w:pPr>
        <w:ind w:left="120" w:right="160" w:firstLine="440"/>
        <w:spacing w:after="0" w:line="249" w:lineRule="auto"/>
        <w:rPr>
          <w:sz w:val="20"/>
          <w:szCs w:val="20"/>
          <w:color w:val="auto"/>
        </w:rPr>
      </w:pPr>
      <w:r>
        <w:rPr>
          <w:rFonts w:ascii="Arial" w:cs="Arial" w:eastAsia="Arial" w:hAnsi="Arial"/>
          <w:sz w:val="17"/>
          <w:szCs w:val="17"/>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Additional or different subordination terms may be specified in the prospectus supplement applicable to a particular series.</w:t>
      </w:r>
    </w:p>
    <w:p>
      <w:pPr>
        <w:spacing w:after="0" w:line="210" w:lineRule="exact"/>
        <w:rPr>
          <w:sz w:val="20"/>
          <w:szCs w:val="20"/>
          <w:color w:val="auto"/>
        </w:rPr>
      </w:pPr>
    </w:p>
    <w:p>
      <w:pPr>
        <w:ind w:left="120" w:firstLine="440"/>
        <w:spacing w:after="0" w:line="236" w:lineRule="auto"/>
        <w:rPr>
          <w:sz w:val="20"/>
          <w:szCs w:val="20"/>
          <w:color w:val="auto"/>
        </w:rPr>
      </w:pPr>
      <w:r>
        <w:rPr>
          <w:rFonts w:ascii="Arial" w:cs="Arial" w:eastAsia="Arial" w:hAnsi="Arial"/>
          <w:sz w:val="17"/>
          <w:szCs w:val="17"/>
          <w:i w:val="1"/>
          <w:iCs w:val="1"/>
          <w:color w:val="auto"/>
        </w:rPr>
        <w:t xml:space="preserve">Subordination. </w:t>
      </w:r>
      <w:r>
        <w:rPr>
          <w:rFonts w:ascii="Arial" w:cs="Arial" w:eastAsia="Arial" w:hAnsi="Arial"/>
          <w:sz w:val="17"/>
          <w:szCs w:val="17"/>
          <w:color w:val="auto"/>
        </w:rPr>
        <w:t>The indebtedness evidenced by the subordinated debt securities is subordinate to the prior payment in full of all of our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firstLine="440"/>
        <w:spacing w:after="0" w:line="249" w:lineRule="auto"/>
        <w:rPr>
          <w:sz w:val="20"/>
          <w:szCs w:val="20"/>
          <w:color w:val="auto"/>
        </w:rPr>
      </w:pPr>
      <w:r>
        <w:rPr>
          <w:rFonts w:ascii="Arial" w:cs="Arial" w:eastAsia="Arial" w:hAnsi="Arial"/>
          <w:sz w:val="17"/>
          <w:szCs w:val="17"/>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80"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all of the indebtedness of that person for money borrowed;</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15" w:lineRule="exact"/>
        <w:rPr>
          <w:rFonts w:ascii="MS PGothic" w:cs="MS PGothic" w:eastAsia="MS PGothic" w:hAnsi="MS PGothic"/>
          <w:sz w:val="13"/>
          <w:szCs w:val="13"/>
          <w:color w:val="auto"/>
        </w:rPr>
      </w:pPr>
    </w:p>
    <w:p>
      <w:pPr>
        <w:ind w:left="980" w:right="760" w:hanging="432"/>
        <w:spacing w:after="0" w:line="267"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all of the lease obligations that are capitalized on the books of that person in accordance with generally accepted accounting principles;</w:t>
      </w:r>
    </w:p>
    <w:p>
      <w:pPr>
        <w:spacing w:after="0" w:line="64" w:lineRule="exact"/>
        <w:rPr>
          <w:rFonts w:ascii="MS PGothic" w:cs="MS PGothic" w:eastAsia="MS PGothic" w:hAnsi="MS PGothic"/>
          <w:sz w:val="13"/>
          <w:szCs w:val="13"/>
          <w:color w:val="auto"/>
        </w:rPr>
      </w:pPr>
    </w:p>
    <w:p>
      <w:pPr>
        <w:ind w:left="980" w:hanging="432"/>
        <w:spacing w:after="0" w:line="249"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0" w:lineRule="exact"/>
        <w:rPr>
          <w:rFonts w:ascii="MS PGothic" w:cs="MS PGothic" w:eastAsia="MS PGothic" w:hAnsi="MS PGothic"/>
          <w:sz w:val="13"/>
          <w:szCs w:val="13"/>
          <w:color w:val="auto"/>
        </w:rPr>
      </w:pPr>
    </w:p>
    <w:p>
      <w:pPr>
        <w:ind w:left="980" w:right="260" w:hanging="432"/>
        <w:spacing w:after="0" w:line="267"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59"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08"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7"/>
          <w:szCs w:val="17"/>
          <w:color w:val="auto"/>
        </w:rPr>
        <w:t>The following description of our capital stock is intended as a summary only and therefore is not a complete description of our capital stock. This description is based upon, and is qualified by reference to, our Amended and Restated Certificate of Incorporation, as amended, or the Certificate of Incorporation, our Amended and Restated Bylaws, or the Bylaws, and the applicable provisions of the Delaware General Corporation Law, or the DGCL. You should read our Certificate of Incorporation and Bylaws, which are filed as exhibits to the registration statement of which this prospectus forms a part, for the provisions that are important to you.</w:t>
      </w:r>
    </w:p>
    <w:p>
      <w:pPr>
        <w:spacing w:after="0" w:line="180" w:lineRule="exact"/>
        <w:rPr>
          <w:sz w:val="20"/>
          <w:szCs w:val="20"/>
          <w:color w:val="auto"/>
        </w:rPr>
      </w:pPr>
    </w:p>
    <w:p>
      <w:pPr>
        <w:ind w:left="120" w:right="40" w:firstLine="440"/>
        <w:spacing w:after="0" w:line="249" w:lineRule="auto"/>
        <w:rPr>
          <w:sz w:val="20"/>
          <w:szCs w:val="20"/>
          <w:color w:val="auto"/>
        </w:rPr>
      </w:pPr>
      <w:r>
        <w:rPr>
          <w:rFonts w:ascii="Arial" w:cs="Arial" w:eastAsia="Arial" w:hAnsi="Arial"/>
          <w:sz w:val="17"/>
          <w:szCs w:val="17"/>
          <w:color w:val="auto"/>
        </w:rPr>
        <w:t>Our authorized capital stock consists of 250,000,000 shares of common stock, par value $0.0001 per share, and 10,000,000 shares of preferred stock, par value $0.0001 per share. As of September 30, 2024, 67,223,760 shares of common stock were outstanding and no shares of preferred stock were outstanding.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00"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holder of common stock is entitled to one vote for each share on all matters submitted to a vote of the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election of directors. Under our Certificate of Incorporation, our stockholders do not have cumulative voting rights. Because of this, the holders of a majority of the shares of common stock entitled to vote in any election of directors can elect all of the directors standing for election. These provisions in our Certificate of Incorporation could discourage potential takeover attempts.</w:t>
      </w:r>
    </w:p>
    <w:p>
      <w:pPr>
        <w:spacing w:after="0" w:line="177" w:lineRule="exact"/>
        <w:rPr>
          <w:sz w:val="20"/>
          <w:szCs w:val="20"/>
          <w:color w:val="auto"/>
        </w:rPr>
      </w:pPr>
    </w:p>
    <w:p>
      <w:pPr>
        <w:ind w:left="120" w:right="20" w:firstLine="440"/>
        <w:spacing w:after="0" w:line="249"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preferences that may apply to any then-outstanding preferred stock, the holders of common stock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ratably those dividends, if any, as may be declared from time to time by the board of directors out of legally available funds. We do not anticipate paying any cash dividends in the foreseeable future.</w:t>
      </w:r>
    </w:p>
    <w:p>
      <w:pPr>
        <w:spacing w:after="0" w:line="175" w:lineRule="exact"/>
        <w:rPr>
          <w:sz w:val="20"/>
          <w:szCs w:val="20"/>
          <w:color w:val="auto"/>
        </w:rPr>
      </w:pPr>
    </w:p>
    <w:p>
      <w:pPr>
        <w:ind w:left="120" w:right="140" w:firstLine="440"/>
        <w:spacing w:after="0" w:line="249"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our liquidation, dissolution or winding up, holders of common stock will be entitled to share ratably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75" w:lineRule="exact"/>
        <w:rPr>
          <w:sz w:val="20"/>
          <w:szCs w:val="20"/>
          <w:color w:val="auto"/>
        </w:rPr>
      </w:pPr>
    </w:p>
    <w:p>
      <w:pPr>
        <w:jc w:val="both"/>
        <w:ind w:left="120" w:right="80" w:firstLine="440"/>
        <w:spacing w:after="0" w:line="249" w:lineRule="auto"/>
        <w:rPr>
          <w:sz w:val="20"/>
          <w:szCs w:val="20"/>
          <w:color w:val="auto"/>
        </w:rPr>
      </w:pPr>
      <w:r>
        <w:rPr>
          <w:rFonts w:ascii="Arial" w:cs="Arial" w:eastAsia="Arial" w:hAnsi="Arial"/>
          <w:sz w:val="17"/>
          <w:szCs w:val="17"/>
          <w:i w:val="1"/>
          <w:iCs w:val="1"/>
          <w:color w:val="auto"/>
        </w:rPr>
        <w:t>Preemptive or Similar Rights</w:t>
      </w:r>
      <w:r>
        <w:rPr>
          <w:rFonts w:ascii="Arial" w:cs="Arial" w:eastAsia="Arial" w:hAnsi="Arial"/>
          <w:sz w:val="17"/>
          <w:szCs w:val="17"/>
          <w:color w:val="auto"/>
        </w:rPr>
        <w:t>. Holders of common stock have no preemptive, conversion or subscription rights and there are no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Exchange Listing</w:t>
      </w:r>
      <w:r>
        <w:rPr>
          <w:rFonts w:ascii="Arial" w:cs="Arial" w:eastAsia="Arial" w:hAnsi="Arial"/>
          <w:sz w:val="17"/>
          <w:szCs w:val="17"/>
          <w:color w:val="auto"/>
        </w:rPr>
        <w:t>. Our common stock is listed on the Nasdaq Global Market under the symbol “CLYM.”</w:t>
      </w:r>
    </w:p>
    <w:p>
      <w:pPr>
        <w:spacing w:after="0" w:line="210" w:lineRule="exact"/>
        <w:rPr>
          <w:sz w:val="20"/>
          <w:szCs w:val="20"/>
          <w:color w:val="auto"/>
        </w:rPr>
      </w:pPr>
    </w:p>
    <w:p>
      <w:pPr>
        <w:ind w:left="120" w:right="260" w:firstLine="440"/>
        <w:spacing w:after="0" w:line="267" w:lineRule="auto"/>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our common stock is Equinity Trust Company, LLC (formerly American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Transfer &amp; Trust Company, LLC).</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00" w:lineRule="exact"/>
        <w:rPr>
          <w:sz w:val="20"/>
          <w:szCs w:val="20"/>
          <w:color w:val="auto"/>
        </w:rPr>
      </w:pPr>
    </w:p>
    <w:p>
      <w:pPr>
        <w:ind w:left="120" w:firstLine="440"/>
        <w:spacing w:after="0" w:line="238"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39" w:lineRule="auto"/>
        <w:rPr>
          <w:sz w:val="20"/>
          <w:szCs w:val="20"/>
          <w:color w:val="auto"/>
        </w:rPr>
      </w:pPr>
      <w:r>
        <w:rPr>
          <w:rFonts w:ascii="Arial" w:cs="Arial" w:eastAsia="Arial" w:hAnsi="Arial"/>
          <w:sz w:val="17"/>
          <w:szCs w:val="17"/>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82" w:lineRule="exact"/>
        <w:rPr>
          <w:sz w:val="20"/>
          <w:szCs w:val="20"/>
          <w:color w:val="auto"/>
        </w:rPr>
      </w:pPr>
    </w:p>
    <w:p>
      <w:pPr>
        <w:ind w:left="120" w:right="20" w:firstLine="440"/>
        <w:spacing w:after="0" w:line="249" w:lineRule="auto"/>
        <w:rPr>
          <w:sz w:val="20"/>
          <w:szCs w:val="20"/>
          <w:color w:val="auto"/>
        </w:rPr>
      </w:pPr>
      <w:r>
        <w:rPr>
          <w:rFonts w:ascii="Arial" w:cs="Arial" w:eastAsia="Arial" w:hAnsi="Arial"/>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80"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designation and stated value per share of the preferred stock and the number of shares offered;</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amount of liquidation preference per share;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price at which the preferred stock will be issued;</w:t>
      </w:r>
    </w:p>
    <w:p>
      <w:pPr>
        <w:spacing w:after="0" w:line="115" w:lineRule="exact"/>
        <w:rPr>
          <w:rFonts w:ascii="MS PGothic" w:cs="MS PGothic" w:eastAsia="MS PGothic" w:hAnsi="MS PGothic"/>
          <w:sz w:val="13"/>
          <w:szCs w:val="13"/>
          <w:color w:val="auto"/>
        </w:rPr>
      </w:pPr>
    </w:p>
    <w:p>
      <w:pPr>
        <w:ind w:left="980" w:right="540" w:hanging="432"/>
        <w:spacing w:after="0" w:line="267"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any redemption or sinking fund provisions;</w:t>
      </w:r>
    </w:p>
    <w:p>
      <w:pPr>
        <w:spacing w:after="0" w:line="115"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if other than the currency of the United States, the currency or currencies including composite currencies in which the preferred stock is denominated and/or in which payments will or may be payable;</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any conversion provisions; and</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any other rights, preferences, privileges, limitations and restrictions on the preferred stock.</w:t>
      </w:r>
    </w:p>
    <w:p>
      <w:pPr>
        <w:spacing w:after="0" w:line="210" w:lineRule="exact"/>
        <w:rPr>
          <w:sz w:val="20"/>
          <w:szCs w:val="20"/>
          <w:color w:val="auto"/>
        </w:rPr>
      </w:pPr>
    </w:p>
    <w:p>
      <w:pPr>
        <w:ind w:left="120" w:right="60" w:firstLine="440"/>
        <w:spacing w:after="0" w:line="249" w:lineRule="auto"/>
        <w:rPr>
          <w:sz w:val="20"/>
          <w:szCs w:val="20"/>
          <w:color w:val="auto"/>
        </w:rPr>
      </w:pPr>
      <w:r>
        <w:rPr>
          <w:rFonts w:ascii="Arial" w:cs="Arial" w:eastAsia="Arial" w:hAnsi="Arial"/>
          <w:sz w:val="17"/>
          <w:szCs w:val="17"/>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5"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7"/>
          <w:szCs w:val="17"/>
          <w:i w:val="1"/>
          <w:iCs w:val="1"/>
          <w:color w:val="auto"/>
        </w:rPr>
        <w:t>Rank</w:t>
      </w:r>
      <w:r>
        <w:rPr>
          <w:rFonts w:ascii="Arial" w:cs="Arial" w:eastAsia="Arial" w:hAnsi="Arial"/>
          <w:sz w:val="17"/>
          <w:szCs w:val="17"/>
          <w:color w:val="auto"/>
        </w:rPr>
        <w:t>. Unless otherwise specified in the prospectus supplement, the preferred stock will, with respect to dividend rights and rights upon our</w:t>
      </w:r>
      <w:r>
        <w:rPr>
          <w:rFonts w:ascii="Arial" w:cs="Arial" w:eastAsia="Arial" w:hAnsi="Arial"/>
          <w:sz w:val="17"/>
          <w:szCs w:val="17"/>
          <w:i w:val="1"/>
          <w:iCs w:val="1"/>
          <w:color w:val="auto"/>
        </w:rPr>
        <w:t xml:space="preserve"> </w:t>
      </w:r>
      <w:r>
        <w:rPr>
          <w:rFonts w:ascii="Arial" w:cs="Arial" w:eastAsia="Arial" w:hAnsi="Arial"/>
          <w:sz w:val="17"/>
          <w:szCs w:val="17"/>
          <w:color w:val="auto"/>
        </w:rPr>
        <w:t>liquidation, dissolution or winding up of our affairs, rank:</w:t>
      </w:r>
    </w:p>
    <w:p>
      <w:pPr>
        <w:spacing w:after="0" w:line="65" w:lineRule="exact"/>
        <w:rPr>
          <w:sz w:val="20"/>
          <w:szCs w:val="20"/>
          <w:color w:val="auto"/>
        </w:rPr>
      </w:pPr>
    </w:p>
    <w:p>
      <w:pPr>
        <w:ind w:left="980" w:right="180" w:hanging="432"/>
        <w:spacing w:after="0" w:line="267"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senior to our common stock and to all equity securities ranking junior to such preferred stock with respect to dividend rights or rights upon our liquidation, dissolution or winding up of our affairs;</w:t>
      </w:r>
    </w:p>
    <w:p>
      <w:pPr>
        <w:spacing w:after="0" w:line="64" w:lineRule="exact"/>
        <w:rPr>
          <w:rFonts w:ascii="MS PGothic" w:cs="MS PGothic" w:eastAsia="MS PGothic" w:hAnsi="MS PGothic"/>
          <w:sz w:val="13"/>
          <w:szCs w:val="13"/>
          <w:color w:val="auto"/>
        </w:rPr>
      </w:pPr>
    </w:p>
    <w:p>
      <w:pPr>
        <w:ind w:left="980" w:right="280" w:hanging="432"/>
        <w:spacing w:after="0" w:line="267"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4" w:lineRule="exact"/>
        <w:rPr>
          <w:rFonts w:ascii="MS PGothic" w:cs="MS PGothic" w:eastAsia="MS PGothic" w:hAnsi="MS PGothic"/>
          <w:sz w:val="13"/>
          <w:szCs w:val="13"/>
          <w:color w:val="auto"/>
        </w:rPr>
      </w:pPr>
    </w:p>
    <w:p>
      <w:pPr>
        <w:ind w:left="980" w:right="680" w:hanging="432"/>
        <w:spacing w:after="0" w:line="267"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term “equity securities” does not include convertible debt securities.</w:t>
      </w:r>
    </w:p>
    <w:p>
      <w:pPr>
        <w:spacing w:after="0" w:line="210" w:lineRule="exact"/>
        <w:rPr>
          <w:sz w:val="20"/>
          <w:szCs w:val="20"/>
          <w:color w:val="auto"/>
        </w:rPr>
      </w:pPr>
    </w:p>
    <w:p>
      <w:pPr>
        <w:ind w:left="120" w:right="100" w:firstLine="440"/>
        <w:spacing w:after="0" w:line="241"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Holders of the preferred stock of each series will be entitled to receive, when, as and if declared by our board of directors,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440"/>
        <w:spacing w:after="0" w:line="239" w:lineRule="auto"/>
        <w:rPr>
          <w:sz w:val="20"/>
          <w:szCs w:val="20"/>
          <w:color w:val="auto"/>
        </w:rPr>
      </w:pPr>
      <w:r>
        <w:rPr>
          <w:rFonts w:ascii="Arial" w:cs="Arial" w:eastAsia="Arial" w:hAnsi="Arial"/>
          <w:sz w:val="17"/>
          <w:szCs w:val="17"/>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82" w:lineRule="exact"/>
        <w:rPr>
          <w:sz w:val="20"/>
          <w:szCs w:val="20"/>
          <w:color w:val="auto"/>
        </w:rPr>
      </w:pPr>
    </w:p>
    <w:p>
      <w:pPr>
        <w:ind w:left="120" w:right="20" w:firstLine="440"/>
        <w:spacing w:after="0" w:line="249" w:lineRule="auto"/>
        <w:rPr>
          <w:sz w:val="20"/>
          <w:szCs w:val="20"/>
          <w:color w:val="auto"/>
        </w:rPr>
      </w:pPr>
      <w:r>
        <w:rPr>
          <w:rFonts w:ascii="Arial" w:cs="Arial" w:eastAsia="Arial" w:hAnsi="Arial"/>
          <w:sz w:val="17"/>
          <w:szCs w:val="17"/>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75" w:lineRule="exact"/>
        <w:rPr>
          <w:sz w:val="20"/>
          <w:szCs w:val="20"/>
          <w:color w:val="auto"/>
        </w:rPr>
      </w:pPr>
    </w:p>
    <w:p>
      <w:pPr>
        <w:ind w:left="120" w:right="280" w:firstLine="440"/>
        <w:spacing w:after="0" w:line="249" w:lineRule="auto"/>
        <w:rPr>
          <w:sz w:val="20"/>
          <w:szCs w:val="20"/>
          <w:color w:val="auto"/>
        </w:rPr>
      </w:pPr>
      <w:r>
        <w:rPr>
          <w:rFonts w:ascii="Arial" w:cs="Arial" w:eastAsia="Arial" w:hAnsi="Arial"/>
          <w:sz w:val="17"/>
          <w:szCs w:val="17"/>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75" w:lineRule="exact"/>
        <w:rPr>
          <w:sz w:val="20"/>
          <w:szCs w:val="20"/>
          <w:color w:val="auto"/>
        </w:rPr>
      </w:pPr>
    </w:p>
    <w:p>
      <w:pPr>
        <w:ind w:left="120" w:firstLine="440"/>
        <w:spacing w:after="0" w:line="235"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 our affairs, then, before we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85" w:lineRule="exact"/>
        <w:rPr>
          <w:sz w:val="20"/>
          <w:szCs w:val="20"/>
          <w:color w:val="auto"/>
        </w:rPr>
      </w:pPr>
    </w:p>
    <w:p>
      <w:pPr>
        <w:ind w:left="120" w:right="80" w:firstLine="440"/>
        <w:spacing w:after="0" w:line="241" w:lineRule="auto"/>
        <w:rPr>
          <w:sz w:val="20"/>
          <w:szCs w:val="20"/>
          <w:color w:val="auto"/>
        </w:rPr>
      </w:pPr>
      <w:r>
        <w:rPr>
          <w:rFonts w:ascii="Arial" w:cs="Arial" w:eastAsia="Arial" w:hAnsi="Arial"/>
          <w:sz w:val="17"/>
          <w:szCs w:val="17"/>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0" w:lineRule="exact"/>
        <w:rPr>
          <w:sz w:val="20"/>
          <w:szCs w:val="20"/>
          <w:color w:val="auto"/>
        </w:rPr>
      </w:pPr>
    </w:p>
    <w:p>
      <w:pPr>
        <w:ind w:left="120" w:right="640" w:firstLine="440"/>
        <w:spacing w:after="0" w:line="249"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 If so provided in the applicable prospectus supplement, the preferred stock will be subject to mandatory redemption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at our option, as a whole or in part, in each case upon the terms, at the times and at the redemption prices set forth in such prospectus supplement.</w:t>
      </w:r>
    </w:p>
    <w:p>
      <w:pPr>
        <w:spacing w:after="0" w:line="175" w:lineRule="exact"/>
        <w:rPr>
          <w:sz w:val="20"/>
          <w:szCs w:val="20"/>
          <w:color w:val="auto"/>
        </w:rPr>
      </w:pPr>
    </w:p>
    <w:p>
      <w:pPr>
        <w:ind w:left="120" w:right="60" w:firstLine="440"/>
        <w:spacing w:after="0" w:line="249" w:lineRule="auto"/>
        <w:rPr>
          <w:sz w:val="20"/>
          <w:szCs w:val="20"/>
          <w:color w:val="auto"/>
        </w:rPr>
      </w:pPr>
      <w:r>
        <w:rPr>
          <w:rFonts w:ascii="Arial" w:cs="Arial" w:eastAsia="Arial" w:hAnsi="Arial"/>
          <w:sz w:val="17"/>
          <w:szCs w:val="17"/>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88" w:lineRule="exact"/>
        <w:rPr>
          <w:sz w:val="20"/>
          <w:szCs w:val="20"/>
          <w:color w:val="auto"/>
        </w:rPr>
      </w:pPr>
    </w:p>
    <w:p>
      <w:pPr>
        <w:jc w:val="both"/>
        <w:ind w:left="980" w:right="180" w:hanging="432"/>
        <w:spacing w:after="0" w:line="249"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80" w:lineRule="exact"/>
        <w:rPr>
          <w:rFonts w:ascii="MS PGothic" w:cs="MS PGothic" w:eastAsia="MS PGothic" w:hAnsi="MS PGothic"/>
          <w:sz w:val="13"/>
          <w:szCs w:val="13"/>
          <w:color w:val="auto"/>
        </w:rPr>
      </w:pPr>
    </w:p>
    <w:p>
      <w:pPr>
        <w:ind w:left="980" w:right="140" w:hanging="432"/>
        <w:spacing w:after="0" w:line="267"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if such series of preferred stock does not have a cumulative dividend, we have declared and paid or contemporaneously declare and pay or set aside funds to pay full dividends for the then current dividend period.</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we will not acquire any preferred stock of a series unless:</w:t>
      </w:r>
    </w:p>
    <w:p>
      <w:pPr>
        <w:spacing w:after="0" w:line="115" w:lineRule="exact"/>
        <w:rPr>
          <w:sz w:val="20"/>
          <w:szCs w:val="20"/>
          <w:color w:val="auto"/>
        </w:rPr>
      </w:pPr>
    </w:p>
    <w:p>
      <w:pPr>
        <w:ind w:left="980" w:right="220" w:hanging="432"/>
        <w:spacing w:after="0" w:line="249"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0" w:lineRule="exact"/>
        <w:rPr>
          <w:rFonts w:ascii="MS PGothic" w:cs="MS PGothic" w:eastAsia="MS PGothic" w:hAnsi="MS PGothic"/>
          <w:sz w:val="13"/>
          <w:szCs w:val="13"/>
          <w:color w:val="auto"/>
        </w:rPr>
      </w:pPr>
    </w:p>
    <w:p>
      <w:pPr>
        <w:ind w:left="980" w:right="220" w:hanging="432"/>
        <w:spacing w:after="0" w:line="267"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59" w:lineRule="exact"/>
        <w:rPr>
          <w:sz w:val="20"/>
          <w:szCs w:val="20"/>
          <w:color w:val="auto"/>
        </w:rPr>
      </w:pPr>
    </w:p>
    <w:p>
      <w:pPr>
        <w:ind w:left="120" w:right="140" w:firstLine="440"/>
        <w:spacing w:after="0" w:line="249" w:lineRule="auto"/>
        <w:rPr>
          <w:sz w:val="20"/>
          <w:szCs w:val="20"/>
          <w:color w:val="auto"/>
        </w:rPr>
      </w:pPr>
      <w:r>
        <w:rPr>
          <w:rFonts w:ascii="Arial" w:cs="Arial" w:eastAsia="Arial" w:hAnsi="Arial"/>
          <w:sz w:val="17"/>
          <w:szCs w:val="17"/>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5"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77" w:lineRule="exact"/>
        <w:rPr>
          <w:sz w:val="20"/>
          <w:szCs w:val="20"/>
          <w:color w:val="auto"/>
        </w:rPr>
      </w:pPr>
    </w:p>
    <w:p>
      <w:pPr>
        <w:ind w:left="120" w:right="220" w:firstLine="440"/>
        <w:spacing w:after="0" w:line="249" w:lineRule="auto"/>
        <w:rPr>
          <w:sz w:val="20"/>
          <w:szCs w:val="20"/>
          <w:color w:val="auto"/>
        </w:rPr>
      </w:pPr>
      <w:r>
        <w:rPr>
          <w:rFonts w:ascii="Arial" w:cs="Arial" w:eastAsia="Arial" w:hAnsi="Arial"/>
          <w:sz w:val="17"/>
          <w:szCs w:val="17"/>
          <w:color w:val="auto"/>
        </w:rPr>
        <w:t>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w:t>
      </w:r>
    </w:p>
    <w:p>
      <w:pPr>
        <w:spacing w:after="0" w:line="80"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redemption date;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number of shares and series of preferred stock to be redeemed;</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redemption price;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place or places where certificates for such preferred stock are to be surrendered for payment of the redemption price;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that dividends on the shares to be redeemed will cease to accrue on such redemption date;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date on which the holder’s conversion rights, if any, as to such shares shall terminate; and</w:t>
      </w:r>
    </w:p>
    <w:p>
      <w:pPr>
        <w:spacing w:after="0" w:line="115" w:lineRule="exact"/>
        <w:rPr>
          <w:rFonts w:ascii="MS PGothic" w:cs="MS PGothic" w:eastAsia="MS PGothic" w:hAnsi="MS PGothic"/>
          <w:sz w:val="13"/>
          <w:szCs w:val="13"/>
          <w:color w:val="auto"/>
        </w:rPr>
      </w:pPr>
    </w:p>
    <w:p>
      <w:pPr>
        <w:ind w:left="5540" w:right="280" w:hanging="4992"/>
        <w:spacing w:after="0" w:line="447" w:lineRule="auto"/>
        <w:tabs>
          <w:tab w:leader="none" w:pos="986"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 xml:space="preserve">the specific number of shares to be redeemed from each such holder if fewer than all the shares of any series are to be redeemed. </w:t>
      </w:r>
      <w:r>
        <w:rPr>
          <w:rFonts w:ascii="Arial" w:cs="Arial" w:eastAsia="Arial" w:hAnsi="Arial"/>
          <w:sz w:val="16"/>
          <w:szCs w:val="16"/>
          <w:color w:val="auto"/>
        </w:rPr>
        <w:t>22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7"/>
          <w:szCs w:val="17"/>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75" w:lineRule="exact"/>
        <w:rPr>
          <w:sz w:val="20"/>
          <w:szCs w:val="20"/>
          <w:color w:val="auto"/>
        </w:rPr>
      </w:pPr>
    </w:p>
    <w:p>
      <w:pPr>
        <w:ind w:left="120" w:right="700" w:firstLine="440"/>
        <w:spacing w:after="0" w:line="267"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preferred stock will not have any voting rights, except as required by law or as indicated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supplement.</w:t>
      </w:r>
    </w:p>
    <w:p>
      <w:pPr>
        <w:spacing w:after="0" w:line="159" w:lineRule="exact"/>
        <w:rPr>
          <w:sz w:val="20"/>
          <w:szCs w:val="20"/>
          <w:color w:val="auto"/>
        </w:rPr>
      </w:pPr>
    </w:p>
    <w:p>
      <w:pPr>
        <w:ind w:left="120" w:right="100" w:firstLine="440"/>
        <w:spacing w:after="0" w:line="241" w:lineRule="auto"/>
        <w:rPr>
          <w:sz w:val="20"/>
          <w:szCs w:val="20"/>
          <w:color w:val="auto"/>
        </w:rPr>
      </w:pPr>
      <w:r>
        <w:rPr>
          <w:rFonts w:ascii="Arial" w:cs="Arial" w:eastAsia="Arial" w:hAnsi="Arial"/>
          <w:sz w:val="17"/>
          <w:szCs w:val="17"/>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0" w:lineRule="exact"/>
        <w:rPr>
          <w:sz w:val="20"/>
          <w:szCs w:val="20"/>
          <w:color w:val="auto"/>
        </w:rPr>
      </w:pPr>
    </w:p>
    <w:p>
      <w:pPr>
        <w:ind w:left="120" w:right="80" w:firstLine="440"/>
        <w:spacing w:after="0" w:line="241" w:lineRule="auto"/>
        <w:rPr>
          <w:sz w:val="20"/>
          <w:szCs w:val="20"/>
          <w:color w:val="auto"/>
        </w:rPr>
      </w:pPr>
      <w:r>
        <w:rPr>
          <w:rFonts w:ascii="Arial" w:cs="Arial" w:eastAsia="Arial" w:hAnsi="Arial"/>
          <w:sz w:val="17"/>
          <w:szCs w:val="17"/>
          <w:i w:val="1"/>
          <w:iCs w:val="1"/>
          <w:color w:val="auto"/>
        </w:rPr>
        <w:t>Conversion Rights</w:t>
      </w:r>
      <w:r>
        <w:rPr>
          <w:rFonts w:ascii="Arial" w:cs="Arial" w:eastAsia="Arial" w:hAnsi="Arial"/>
          <w:sz w:val="17"/>
          <w:szCs w:val="17"/>
          <w:color w:val="auto"/>
        </w:rPr>
        <w:t>. The terms and conditions, if any, upon which any series of preferred stock is convertible into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0" w:lineRule="exact"/>
        <w:rPr>
          <w:sz w:val="20"/>
          <w:szCs w:val="20"/>
          <w:color w:val="auto"/>
        </w:rPr>
      </w:pPr>
    </w:p>
    <w:p>
      <w:pPr>
        <w:ind w:left="120" w:right="760" w:firstLine="440"/>
        <w:spacing w:after="0" w:line="267" w:lineRule="auto"/>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preferred stock will be set forth in the applicable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Section 203 of the Delaware General Corporation Law</w:t>
      </w:r>
    </w:p>
    <w:p>
      <w:pPr>
        <w:spacing w:after="0" w:line="100" w:lineRule="exact"/>
        <w:rPr>
          <w:sz w:val="20"/>
          <w:szCs w:val="20"/>
          <w:color w:val="auto"/>
        </w:rPr>
      </w:pPr>
    </w:p>
    <w:p>
      <w:pPr>
        <w:ind w:left="120" w:right="120" w:firstLine="440"/>
        <w:spacing w:after="0" w:line="249" w:lineRule="auto"/>
        <w:rPr>
          <w:sz w:val="20"/>
          <w:szCs w:val="20"/>
          <w:color w:val="auto"/>
        </w:rPr>
      </w:pPr>
      <w:r>
        <w:rPr>
          <w:rFonts w:ascii="Arial" w:cs="Arial" w:eastAsia="Arial" w:hAnsi="Arial"/>
          <w:sz w:val="17"/>
          <w:szCs w:val="17"/>
          <w:color w:val="auto"/>
        </w:rPr>
        <w:t>We are subject to Section 203 of the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80" w:lineRule="exact"/>
        <w:rPr>
          <w:sz w:val="20"/>
          <w:szCs w:val="20"/>
          <w:color w:val="auto"/>
        </w:rPr>
      </w:pPr>
    </w:p>
    <w:p>
      <w:pPr>
        <w:ind w:left="980" w:hanging="432"/>
        <w:spacing w:after="0" w:line="267"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before such date, the board of directors of the corporation approved either the business combination or the transaction that resulted in the stockholder becoming an interested stockholder;</w:t>
      </w:r>
    </w:p>
    <w:p>
      <w:pPr>
        <w:spacing w:after="0" w:line="64" w:lineRule="exact"/>
        <w:rPr>
          <w:rFonts w:ascii="MS PGothic" w:cs="MS PGothic" w:eastAsia="MS PGothic" w:hAnsi="MS PGothic"/>
          <w:sz w:val="13"/>
          <w:szCs w:val="13"/>
          <w:color w:val="auto"/>
        </w:rPr>
      </w:pPr>
    </w:p>
    <w:p>
      <w:pPr>
        <w:ind w:left="980" w:right="220" w:hanging="432"/>
        <w:spacing w:after="0" w:line="241"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5" w:lineRule="exact"/>
        <w:rPr>
          <w:rFonts w:ascii="MS PGothic" w:cs="MS PGothic" w:eastAsia="MS PGothic" w:hAnsi="MS PGothic"/>
          <w:sz w:val="13"/>
          <w:szCs w:val="13"/>
          <w:color w:val="auto"/>
        </w:rPr>
      </w:pPr>
    </w:p>
    <w:p>
      <w:pPr>
        <w:ind w:left="980" w:right="80" w:hanging="432"/>
        <w:spacing w:after="0" w:line="249"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115" w:lineRule="exact"/>
        <w:rPr>
          <w:sz w:val="20"/>
          <w:szCs w:val="20"/>
          <w:color w:val="auto"/>
        </w:rPr>
      </w:pPr>
    </w:p>
    <w:p>
      <w:pPr>
        <w:ind w:left="5540" w:right="3700" w:hanging="4992"/>
        <w:spacing w:after="0" w:line="447" w:lineRule="auto"/>
        <w:tabs>
          <w:tab w:leader="none" w:pos="986"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 xml:space="preserve">any merger or consolidation involving the corporation and the interested stockholder; </w:t>
      </w:r>
      <w:r>
        <w:rPr>
          <w:rFonts w:ascii="Arial" w:cs="Arial" w:eastAsia="Arial" w:hAnsi="Arial"/>
          <w:sz w:val="16"/>
          <w:szCs w:val="16"/>
          <w:color w:val="auto"/>
        </w:rPr>
        <w:t>23</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right="800" w:hanging="432"/>
        <w:spacing w:after="0" w:line="267"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any sale, lease, transfer, pledge or other disposition of 10% or more of the assets of the corporation to or with the interested stockholder;</w:t>
      </w:r>
    </w:p>
    <w:p>
      <w:pPr>
        <w:spacing w:after="0" w:line="64" w:lineRule="exact"/>
        <w:rPr>
          <w:rFonts w:ascii="MS PGothic" w:cs="MS PGothic" w:eastAsia="MS PGothic" w:hAnsi="MS PGothic"/>
          <w:sz w:val="13"/>
          <w:szCs w:val="13"/>
          <w:color w:val="auto"/>
        </w:rPr>
      </w:pPr>
    </w:p>
    <w:p>
      <w:pPr>
        <w:ind w:left="980" w:right="80" w:hanging="432"/>
        <w:spacing w:after="0" w:line="267"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64" w:lineRule="exact"/>
        <w:rPr>
          <w:rFonts w:ascii="MS PGothic" w:cs="MS PGothic" w:eastAsia="MS PGothic" w:hAnsi="MS PGothic"/>
          <w:sz w:val="13"/>
          <w:szCs w:val="13"/>
          <w:color w:val="auto"/>
        </w:rPr>
      </w:pPr>
    </w:p>
    <w:p>
      <w:pPr>
        <w:ind w:left="980" w:right="80" w:hanging="432"/>
        <w:spacing w:after="0" w:line="267"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64" w:lineRule="exact"/>
        <w:rPr>
          <w:rFonts w:ascii="MS PGothic" w:cs="MS PGothic" w:eastAsia="MS PGothic" w:hAnsi="MS PGothic"/>
          <w:sz w:val="13"/>
          <w:szCs w:val="13"/>
          <w:color w:val="auto"/>
        </w:rPr>
      </w:pPr>
    </w:p>
    <w:p>
      <w:pPr>
        <w:ind w:left="980" w:right="260" w:hanging="432"/>
        <w:spacing w:after="0" w:line="267"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59" w:lineRule="exact"/>
        <w:rPr>
          <w:sz w:val="20"/>
          <w:szCs w:val="20"/>
          <w:color w:val="auto"/>
        </w:rPr>
      </w:pPr>
    </w:p>
    <w:p>
      <w:pPr>
        <w:jc w:val="both"/>
        <w:ind w:left="120" w:right="100" w:firstLine="440"/>
        <w:spacing w:after="0" w:line="249"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5"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Certificate of Incorporation and Bylaws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Among other things, our Certificate of Incorporation and Bylaws:</w:t>
      </w:r>
    </w:p>
    <w:p>
      <w:pPr>
        <w:spacing w:after="0" w:line="115" w:lineRule="exact"/>
        <w:rPr>
          <w:sz w:val="20"/>
          <w:szCs w:val="20"/>
          <w:color w:val="auto"/>
        </w:rPr>
      </w:pPr>
    </w:p>
    <w:p>
      <w:pPr>
        <w:ind w:left="980" w:right="200" w:hanging="432"/>
        <w:spacing w:after="0" w:line="267"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provide that the authorized number of directors may be changed only by resolution of our board of directors;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provide that our board of directors is classified into three classes of directors;</w:t>
      </w:r>
    </w:p>
    <w:p>
      <w:pPr>
        <w:spacing w:after="0" w:line="115" w:lineRule="exact"/>
        <w:rPr>
          <w:rFonts w:ascii="MS PGothic" w:cs="MS PGothic" w:eastAsia="MS PGothic" w:hAnsi="MS PGothic"/>
          <w:sz w:val="13"/>
          <w:szCs w:val="13"/>
          <w:color w:val="auto"/>
        </w:rPr>
      </w:pPr>
    </w:p>
    <w:p>
      <w:pPr>
        <w:ind w:left="980" w:right="180" w:hanging="432"/>
        <w:spacing w:after="0" w:line="249"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0"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provide that all vacancies, including newly created directorships, may, except as otherwise required by law, be filled by the affirmative vote of a majority of directors then in office, even if less than a quorum;</w:t>
      </w:r>
    </w:p>
    <w:p>
      <w:pPr>
        <w:spacing w:after="0" w:line="64"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require that any action to be taken by our stockholders must be effected at a duly called annual or special meeting of stockholders and not be taken by written consent or electronic transmission;</w:t>
      </w:r>
    </w:p>
    <w:p>
      <w:pPr>
        <w:spacing w:after="0" w:line="64" w:lineRule="exact"/>
        <w:rPr>
          <w:rFonts w:ascii="MS PGothic" w:cs="MS PGothic" w:eastAsia="MS PGothic" w:hAnsi="MS PGothic"/>
          <w:sz w:val="13"/>
          <w:szCs w:val="13"/>
          <w:color w:val="auto"/>
        </w:rPr>
      </w:pPr>
    </w:p>
    <w:p>
      <w:pPr>
        <w:ind w:left="980" w:right="360" w:hanging="432"/>
        <w:spacing w:after="0" w:line="249"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0" w:lineRule="exact"/>
        <w:rPr>
          <w:rFonts w:ascii="MS PGothic" w:cs="MS PGothic" w:eastAsia="MS PGothic" w:hAnsi="MS PGothic"/>
          <w:sz w:val="13"/>
          <w:szCs w:val="13"/>
          <w:color w:val="auto"/>
        </w:rPr>
      </w:pPr>
    </w:p>
    <w:p>
      <w:pPr>
        <w:ind w:left="980" w:right="140" w:hanging="432"/>
        <w:spacing w:after="0" w:line="267"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provide that special meetings of our stockholders may be called only by the chairperson of our board of directors, our chief executive officer or by our board of directors pursuant to a resolution adopted by a majority of the total number of authorized directors; and</w:t>
      </w:r>
    </w:p>
    <w:p>
      <w:pPr>
        <w:spacing w:after="0" w:line="64" w:lineRule="exact"/>
        <w:rPr>
          <w:rFonts w:ascii="MS PGothic" w:cs="MS PGothic" w:eastAsia="MS PGothic" w:hAnsi="MS PGothic"/>
          <w:sz w:val="13"/>
          <w:szCs w:val="13"/>
          <w:color w:val="auto"/>
        </w:rPr>
      </w:pPr>
    </w:p>
    <w:p>
      <w:pPr>
        <w:ind w:left="980" w:right="120" w:hanging="432"/>
        <w:spacing w:after="0" w:line="267"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60" w:firstLine="440"/>
        <w:spacing w:after="0" w:line="267" w:lineRule="auto"/>
        <w:rPr>
          <w:sz w:val="20"/>
          <w:szCs w:val="20"/>
          <w:color w:val="auto"/>
        </w:rPr>
      </w:pPr>
      <w:r>
        <w:rPr>
          <w:rFonts w:ascii="Arial" w:cs="Arial" w:eastAsia="Arial" w:hAnsi="Arial"/>
          <w:sz w:val="17"/>
          <w:szCs w:val="17"/>
          <w:color w:val="auto"/>
        </w:rPr>
        <w:t>The amendment of any of these provisions requires approval by the holders of at least 66 2/3% of the voting power of all of our then-outstanding capital stock entitled to vote generally in the election of directors, voting together as a single class.</w:t>
      </w:r>
    </w:p>
    <w:p>
      <w:pPr>
        <w:spacing w:after="0" w:line="159" w:lineRule="exact"/>
        <w:rPr>
          <w:sz w:val="20"/>
          <w:szCs w:val="20"/>
          <w:color w:val="auto"/>
        </w:rPr>
      </w:pPr>
    </w:p>
    <w:p>
      <w:pPr>
        <w:ind w:left="120" w:firstLine="440"/>
        <w:spacing w:after="0" w:line="241" w:lineRule="auto"/>
        <w:rPr>
          <w:sz w:val="20"/>
          <w:szCs w:val="20"/>
          <w:color w:val="auto"/>
        </w:rPr>
      </w:pPr>
      <w:r>
        <w:rPr>
          <w:rFonts w:ascii="Arial" w:cs="Arial" w:eastAsia="Arial" w:hAnsi="Arial"/>
          <w:sz w:val="17"/>
          <w:szCs w:val="17"/>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0" w:lineRule="exact"/>
        <w:rPr>
          <w:sz w:val="20"/>
          <w:szCs w:val="20"/>
          <w:color w:val="auto"/>
        </w:rPr>
      </w:pPr>
    </w:p>
    <w:p>
      <w:pPr>
        <w:ind w:left="120" w:right="260" w:firstLine="440"/>
        <w:spacing w:after="0" w:line="244"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00" w:lineRule="exact"/>
        <w:rPr>
          <w:sz w:val="20"/>
          <w:szCs w:val="20"/>
          <w:color w:val="auto"/>
        </w:rPr>
      </w:pPr>
    </w:p>
    <w:p>
      <w:pPr>
        <w:ind w:left="120" w:firstLine="440"/>
        <w:spacing w:after="0" w:line="235" w:lineRule="auto"/>
        <w:rPr>
          <w:sz w:val="20"/>
          <w:szCs w:val="20"/>
          <w:color w:val="auto"/>
        </w:rPr>
      </w:pPr>
      <w:r>
        <w:rPr>
          <w:rFonts w:ascii="Arial" w:cs="Arial" w:eastAsia="Arial" w:hAnsi="Arial"/>
          <w:sz w:val="17"/>
          <w:szCs w:val="17"/>
          <w:color w:val="auto"/>
        </w:rPr>
        <w:t>Our Certificate of Incorporation provides that the Court of Chancery of the State of Delaware will be the exclusive forum for actions or proceedings brought under Delaware statutory or common law: (1) any derivative action or proceeding brought on our behalf; (2) any action asserting a breach of fiduciary duty; (3) any action asserting a claim against us arising under the DGCL; (4) any action regarding our Certificate of Incorporation or Bylaws; (5) any action as to which the DGCL confers jurisdiction to the Court of Chancery of the State of Delaware; or (6) any action asserting a claim against us that is governed by the internal affairs doctrine. Our Certificate of Incorporation further provides that the federal district courts of the United States of America will be the exclusive forum for resolving any complaint asserting a cause of action arising under the Securities Act of 1933, as amended. Such provision is intended to benefit and may be enforced by us, our officers and directors, employees and agents. Although Certificate of Incorporation contains the choice of forum provisions described above, it is possible that a court could find one or more of these provisions inapplicable for a particular claim or action or that such provision is unenforceable. Further, notwithstanding anything in our Certificate of Incorporation and Bylaws, investors cannot waive compliance with the federal securities laws and regulations thereunder. The choice of forum provisions will not apply to suits brought to enforce any liability or duty created by the Exchange Act or any other claim for which the federal courts have exclusive jurisdiction.</w:t>
      </w:r>
    </w:p>
    <w:p>
      <w:pPr>
        <w:spacing w:after="0" w:line="187" w:lineRule="exact"/>
        <w:rPr>
          <w:sz w:val="20"/>
          <w:szCs w:val="20"/>
          <w:color w:val="auto"/>
        </w:rPr>
      </w:pPr>
    </w:p>
    <w:p>
      <w:pPr>
        <w:ind w:left="120" w:firstLine="440"/>
        <w:spacing w:after="0" w:line="241" w:lineRule="auto"/>
        <w:rPr>
          <w:sz w:val="20"/>
          <w:szCs w:val="20"/>
          <w:color w:val="auto"/>
        </w:rPr>
      </w:pPr>
      <w:r>
        <w:rPr>
          <w:rFonts w:ascii="Arial" w:cs="Arial" w:eastAsia="Arial" w:hAnsi="Arial"/>
          <w:sz w:val="17"/>
          <w:szCs w:val="17"/>
          <w:color w:val="auto"/>
        </w:rPr>
        <w:t>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Certificate of Incorporation and Bylaws and having service of process made upon such stockholder in any such action by service upon such stockholder’s counsel in the Foreign Action as agent for such stockholder.</w:t>
      </w:r>
    </w:p>
    <w:p>
      <w:pPr>
        <w:spacing w:after="0" w:line="180"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SUBSCRIPTION RIGHTS</w:t>
      </w:r>
    </w:p>
    <w:p>
      <w:pPr>
        <w:spacing w:after="0" w:line="212"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color w:val="auto"/>
        </w:rPr>
        <w:t>The following description of the subscription rights and terms of the subscription rights agreement is a summary. It summarizes only those aspects of the subscription rights and those portions of the subscription rights agreement which we believe will be most important to your decision to invest in our subscription rights. There may be other provisions in the subscription rights agreement and the subscription certificate relating to the subscription rights which are also important to you. You should read these documents for a full description of the terms of the subscription rights. The forms of the subscription rights agreement and the subscription certificate will be filed or incorporated by reference as exhibits to the registration statement of which this prospectus is a part.</w:t>
      </w:r>
    </w:p>
    <w:p>
      <w:pPr>
        <w:spacing w:after="0" w:line="175"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7"/>
          <w:szCs w:val="17"/>
          <w:color w:val="auto"/>
        </w:rPr>
        <w:t>Subscription rights may be issued independently or together with any other security and may or may not be transferable. As part of the rights offering, we may enter into a standby underwriting or other arrangement under which the underwriters or any other person would purchase any securities that are not purchased in such rights offering. If we issue subscription rights, they may be governed by a separate subscription rights agreement that we will sign with a bank or trust company, as rights agent, that will be named in the applicable prospectus supplement. The rights agent will act solely as our agent and will not assume any obligation to any holders of rights certificates or beneficial owners of rights.</w:t>
      </w:r>
    </w:p>
    <w:p>
      <w:pPr>
        <w:spacing w:after="0" w:line="180"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7"/>
          <w:szCs w:val="17"/>
          <w:color w:val="auto"/>
        </w:rPr>
        <w:t>In general, a right entitles the holder to purchase for cash a specific number of shares of equity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w:t>
      </w:r>
    </w:p>
    <w:p>
      <w:pPr>
        <w:spacing w:after="0" w:line="83"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record date for stockholders entitled to receive the rights;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number of equity securities that may be purchased upon exercise of each right;</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exercise price of the rights;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whether the rights are transferable;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period during which the rights may be exercised and when they will expire;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steps required to exercise the rights;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price, if any, for the subscription rights;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number of subscription rights issued;</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terms of the equity securities;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extent to which the subscription rights are transferable;</w:t>
      </w:r>
    </w:p>
    <w:p>
      <w:pPr>
        <w:spacing w:after="0" w:line="115" w:lineRule="exact"/>
        <w:rPr>
          <w:rFonts w:ascii="MS PGothic" w:cs="MS PGothic" w:eastAsia="MS PGothic" w:hAnsi="MS PGothic"/>
          <w:sz w:val="13"/>
          <w:szCs w:val="13"/>
          <w:color w:val="auto"/>
        </w:rPr>
      </w:pPr>
    </w:p>
    <w:p>
      <w:pPr>
        <w:ind w:left="980" w:right="20" w:hanging="432"/>
        <w:spacing w:after="0" w:line="267"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if applicable, the material terms of any standby underwriting or other arrangement entered into by us in connection with the offering of subscription rights;</w:t>
      </w:r>
    </w:p>
    <w:p>
      <w:pPr>
        <w:spacing w:after="0" w:line="64" w:lineRule="exact"/>
        <w:rPr>
          <w:rFonts w:ascii="MS PGothic" w:cs="MS PGothic" w:eastAsia="MS PGothic" w:hAnsi="MS PGothic"/>
          <w:sz w:val="13"/>
          <w:szCs w:val="13"/>
          <w:color w:val="auto"/>
        </w:rPr>
      </w:pPr>
    </w:p>
    <w:p>
      <w:pPr>
        <w:ind w:left="980" w:right="220" w:hanging="432"/>
        <w:spacing w:after="0" w:line="267"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other terms of the subscription rights, including the terms, procedures and limitations relating to the exercise of the subscription rights;</w:t>
      </w:r>
    </w:p>
    <w:p>
      <w:pPr>
        <w:spacing w:after="0" w:line="64" w:lineRule="exact"/>
        <w:rPr>
          <w:rFonts w:ascii="MS PGothic" w:cs="MS PGothic" w:eastAsia="MS PGothic" w:hAnsi="MS PGothic"/>
          <w:sz w:val="13"/>
          <w:szCs w:val="13"/>
          <w:color w:val="auto"/>
        </w:rPr>
      </w:pPr>
    </w:p>
    <w:p>
      <w:pPr>
        <w:ind w:left="980" w:right="120" w:hanging="432"/>
        <w:spacing w:after="0" w:line="267"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whether the rights include “oversubscription rights” so that the holder may purchase more securities if other holders do not purchase their full allotments;</w:t>
      </w:r>
    </w:p>
    <w:p>
      <w:pPr>
        <w:spacing w:after="0" w:line="64" w:lineRule="exact"/>
        <w:rPr>
          <w:rFonts w:ascii="MS PGothic" w:cs="MS PGothic" w:eastAsia="MS PGothic" w:hAnsi="MS PGothic"/>
          <w:sz w:val="13"/>
          <w:szCs w:val="13"/>
          <w:color w:val="auto"/>
        </w:rPr>
      </w:pPr>
    </w:p>
    <w:p>
      <w:pPr>
        <w:ind w:left="980" w:right="620" w:hanging="432"/>
        <w:spacing w:after="0" w:line="267"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whether we intend to sell the shares of equity securities that are not purchased in the rights offering to an underwriter or other purchaser under a contractual “standby” commitment or other arrangement; and</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any applicable United States federal income tax considerations.</w:t>
      </w:r>
    </w:p>
    <w:p>
      <w:pPr>
        <w:spacing w:after="0" w:line="213"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If fewer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60"/>
          </w:cols>
          <w:pgMar w:left="320" w:top="455"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08" w:lineRule="exact"/>
        <w:rPr>
          <w:sz w:val="20"/>
          <w:szCs w:val="20"/>
          <w:color w:val="auto"/>
        </w:rPr>
      </w:pPr>
    </w:p>
    <w:p>
      <w:pPr>
        <w:jc w:val="both"/>
        <w:ind w:left="120" w:right="160" w:firstLine="440"/>
        <w:spacing w:after="0" w:line="249" w:lineRule="auto"/>
        <w:rPr>
          <w:sz w:val="20"/>
          <w:szCs w:val="20"/>
          <w:color w:val="auto"/>
        </w:rPr>
      </w:pPr>
      <w:r>
        <w:rPr>
          <w:rFonts w:ascii="Arial" w:cs="Arial" w:eastAsia="Arial" w:hAnsi="Arial"/>
          <w:sz w:val="17"/>
          <w:szCs w:val="17"/>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80" w:lineRule="exact"/>
        <w:rPr>
          <w:sz w:val="20"/>
          <w:szCs w:val="20"/>
          <w:color w:val="auto"/>
        </w:rPr>
      </w:pPr>
    </w:p>
    <w:p>
      <w:pPr>
        <w:ind w:left="980" w:hanging="432"/>
        <w:spacing w:after="0" w:line="267"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designation and the terms of the units and of the securities constituting the units, including whether and under what circumstances the securities comprising the units may be traded separately;</w:t>
      </w:r>
    </w:p>
    <w:p>
      <w:pPr>
        <w:spacing w:after="0" w:line="64" w:lineRule="exact"/>
        <w:rPr>
          <w:rFonts w:ascii="MS PGothic" w:cs="MS PGothic" w:eastAsia="MS PGothic" w:hAnsi="MS PGothic"/>
          <w:sz w:val="13"/>
          <w:szCs w:val="13"/>
          <w:color w:val="auto"/>
        </w:rPr>
      </w:pPr>
    </w:p>
    <w:p>
      <w:pPr>
        <w:ind w:left="980" w:right="300" w:hanging="432"/>
        <w:spacing w:after="0" w:line="267"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identity of any unit agent for the units, if applicable, and of any other depositaries, execution or paying agents, transfer agents, registrars or other agents;</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any additional terms of the governing unit agreement, if applicable;</w:t>
      </w:r>
    </w:p>
    <w:p>
      <w:pPr>
        <w:spacing w:after="0" w:line="115" w:lineRule="exact"/>
        <w:rPr>
          <w:rFonts w:ascii="MS PGothic" w:cs="MS PGothic" w:eastAsia="MS PGothic" w:hAnsi="MS PGothic"/>
          <w:sz w:val="13"/>
          <w:szCs w:val="13"/>
          <w:color w:val="auto"/>
        </w:rPr>
      </w:pPr>
    </w:p>
    <w:p>
      <w:pPr>
        <w:ind w:left="980" w:right="220" w:hanging="432"/>
        <w:spacing w:after="0" w:line="267"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any additional provisions for the issuance, payment, settlement, transfer or exchange of the units or of the debt securities, common stock, preferred stock or warrants constituting the units; and</w:t>
      </w:r>
    </w:p>
    <w:p>
      <w:pPr>
        <w:spacing w:after="0" w:line="67" w:lineRule="exact"/>
        <w:rPr>
          <w:rFonts w:ascii="MS PGothic" w:cs="MS PGothic" w:eastAsia="MS PGothic" w:hAnsi="MS PGothic"/>
          <w:sz w:val="13"/>
          <w:szCs w:val="13"/>
          <w:color w:val="auto"/>
        </w:rPr>
      </w:pPr>
    </w:p>
    <w:p>
      <w:pPr>
        <w:ind w:left="1080" w:hanging="424"/>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08" w:lineRule="exact"/>
        <w:rPr>
          <w:sz w:val="20"/>
          <w:szCs w:val="20"/>
          <w:color w:val="auto"/>
        </w:rPr>
      </w:pPr>
    </w:p>
    <w:p>
      <w:pPr>
        <w:ind w:left="120" w:right="120" w:firstLine="440"/>
        <w:spacing w:after="0" w:line="241" w:lineRule="auto"/>
        <w:rPr>
          <w:sz w:val="20"/>
          <w:szCs w:val="20"/>
          <w:color w:val="auto"/>
        </w:rPr>
      </w:pPr>
      <w:r>
        <w:rPr>
          <w:rFonts w:ascii="Arial" w:cs="Arial" w:eastAsia="Arial" w:hAnsi="Arial"/>
          <w:sz w:val="17"/>
          <w:szCs w:val="17"/>
          <w:color w:val="auto"/>
        </w:rPr>
        <w:t>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5"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specific designation and aggregate number of, and the offering price at which we will issue, the warrants;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currency or currency units in which the offering price, if any, and the exercise price are payable;</w:t>
      </w:r>
    </w:p>
    <w:p>
      <w:pPr>
        <w:spacing w:after="0" w:line="115" w:lineRule="exact"/>
        <w:rPr>
          <w:rFonts w:ascii="MS PGothic" w:cs="MS PGothic" w:eastAsia="MS PGothic" w:hAnsi="MS PGothic"/>
          <w:sz w:val="13"/>
          <w:szCs w:val="13"/>
          <w:color w:val="auto"/>
        </w:rPr>
      </w:pPr>
    </w:p>
    <w:p>
      <w:pPr>
        <w:ind w:left="980" w:right="660" w:hanging="432"/>
        <w:spacing w:after="0" w:line="267"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whether the warrants are to be sold separately or with other securities as parts of units;</w:t>
      </w:r>
    </w:p>
    <w:p>
      <w:pPr>
        <w:spacing w:after="0" w:line="115" w:lineRule="exact"/>
        <w:rPr>
          <w:rFonts w:ascii="MS PGothic" w:cs="MS PGothic" w:eastAsia="MS PGothic" w:hAnsi="MS PGothic"/>
          <w:sz w:val="13"/>
          <w:szCs w:val="13"/>
          <w:color w:val="auto"/>
        </w:rPr>
      </w:pPr>
    </w:p>
    <w:p>
      <w:pPr>
        <w:ind w:left="980" w:right="40" w:hanging="432"/>
        <w:spacing w:after="0" w:line="267"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any applicable material U.S. federal income tax consequences;</w:t>
      </w:r>
    </w:p>
    <w:p>
      <w:pPr>
        <w:spacing w:after="0" w:line="115" w:lineRule="exact"/>
        <w:rPr>
          <w:rFonts w:ascii="MS PGothic" w:cs="MS PGothic" w:eastAsia="MS PGothic" w:hAnsi="MS PGothic"/>
          <w:sz w:val="13"/>
          <w:szCs w:val="13"/>
          <w:color w:val="auto"/>
        </w:rPr>
      </w:pPr>
    </w:p>
    <w:p>
      <w:pPr>
        <w:ind w:left="980" w:right="60" w:hanging="432"/>
        <w:spacing w:after="0" w:line="267"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identity of the warrant agent for the warrants and of any other depositaries, execution or paying agents, transfer agents, registrars or other agents;</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designation and terms of any equity securities purchasable upon exercise of the warrants;</w:t>
      </w:r>
    </w:p>
    <w:p>
      <w:pPr>
        <w:spacing w:after="0" w:line="115" w:lineRule="exact"/>
        <w:rPr>
          <w:rFonts w:ascii="MS PGothic" w:cs="MS PGothic" w:eastAsia="MS PGothic" w:hAnsi="MS PGothic"/>
          <w:sz w:val="13"/>
          <w:szCs w:val="13"/>
          <w:color w:val="auto"/>
        </w:rPr>
      </w:pPr>
    </w:p>
    <w:p>
      <w:pPr>
        <w:ind w:left="980" w:right="200" w:hanging="432"/>
        <w:spacing w:after="0" w:line="267"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designation, aggregate principal amount, currency and terms of any debt securities that may be purchased upon exercise of the warrants;</w:t>
      </w:r>
    </w:p>
    <w:p>
      <w:pPr>
        <w:spacing w:after="0" w:line="64" w:lineRule="exact"/>
        <w:rPr>
          <w:rFonts w:ascii="MS PGothic" w:cs="MS PGothic" w:eastAsia="MS PGothic" w:hAnsi="MS PGothic"/>
          <w:sz w:val="13"/>
          <w:szCs w:val="13"/>
          <w:color w:val="auto"/>
        </w:rPr>
      </w:pPr>
    </w:p>
    <w:p>
      <w:pPr>
        <w:ind w:left="980" w:right="160" w:hanging="432"/>
        <w:spacing w:after="0" w:line="267"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if applicable, the designation and terms of the preferred stock with which the warrants are issued and the number of warrants issued with each security;</w:t>
      </w:r>
    </w:p>
    <w:p>
      <w:pPr>
        <w:spacing w:after="0" w:line="64" w:lineRule="exact"/>
        <w:rPr>
          <w:rFonts w:ascii="MS PGothic" w:cs="MS PGothic" w:eastAsia="MS PGothic" w:hAnsi="MS PGothic"/>
          <w:sz w:val="13"/>
          <w:szCs w:val="13"/>
          <w:color w:val="auto"/>
        </w:rPr>
      </w:pPr>
    </w:p>
    <w:p>
      <w:pPr>
        <w:ind w:left="980" w:right="340" w:hanging="432"/>
        <w:spacing w:after="0" w:line="267"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if applicable, the date from and after which any warrants issued as part of a unit and the related debt securities, preferred stock or common stock will be separately transferable;</w:t>
      </w:r>
    </w:p>
    <w:p>
      <w:pPr>
        <w:spacing w:after="0" w:line="64"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number of shares of common stock or preferred stock purchasable upon exercise of a warrant and the price at which those shares may be purchased;</w:t>
      </w:r>
    </w:p>
    <w:p>
      <w:pPr>
        <w:spacing w:after="0" w:line="6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if applicable, the minimum or maximum amount of the warrants that may be exercised at any one time;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information with respect to book-entry procedures, if any;</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anti-dilution provisions of, and other provisions for changes to or adjustment in the exercise price of, the warrants, if any;</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any redemption or call provisions; and</w:t>
      </w:r>
    </w:p>
    <w:p>
      <w:pPr>
        <w:spacing w:after="0" w:line="115" w:lineRule="exact"/>
        <w:rPr>
          <w:rFonts w:ascii="MS PGothic" w:cs="MS PGothic" w:eastAsia="MS PGothic" w:hAnsi="MS PGothic"/>
          <w:sz w:val="13"/>
          <w:szCs w:val="13"/>
          <w:color w:val="auto"/>
        </w:rPr>
      </w:pPr>
    </w:p>
    <w:p>
      <w:pPr>
        <w:ind w:left="5540" w:right="100" w:hanging="4992"/>
        <w:spacing w:after="0" w:line="447" w:lineRule="auto"/>
        <w:tabs>
          <w:tab w:leader="none" w:pos="986"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 xml:space="preserve">any additional terms of the warrants, including terms, procedures and limitations relating to the exchange or exercise of the warrants. </w:t>
      </w:r>
      <w:r>
        <w:rPr>
          <w:rFonts w:ascii="Arial" w:cs="Arial" w:eastAsia="Arial" w:hAnsi="Arial"/>
          <w:sz w:val="16"/>
          <w:szCs w:val="16"/>
          <w:color w:val="auto"/>
        </w:rPr>
        <w:t>28</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FORMS OF SECURITIES</w:t>
      </w:r>
    </w:p>
    <w:p>
      <w:pPr>
        <w:spacing w:after="0" w:line="208" w:lineRule="exact"/>
        <w:rPr>
          <w:sz w:val="20"/>
          <w:szCs w:val="20"/>
          <w:color w:val="auto"/>
        </w:rPr>
      </w:pPr>
    </w:p>
    <w:p>
      <w:pPr>
        <w:ind w:left="120" w:firstLine="440"/>
        <w:spacing w:after="0" w:line="237" w:lineRule="auto"/>
        <w:rPr>
          <w:sz w:val="20"/>
          <w:szCs w:val="20"/>
          <w:color w:val="auto"/>
        </w:rPr>
      </w:pPr>
      <w:r>
        <w:rPr>
          <w:rFonts w:ascii="Arial" w:cs="Arial" w:eastAsia="Arial" w:hAnsi="Arial"/>
          <w:sz w:val="17"/>
          <w:szCs w:val="17"/>
          <w:color w:val="auto"/>
        </w:rPr>
        <w:t>Each debt security, subscription right,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subscription rights,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00" w:lineRule="exact"/>
        <w:rPr>
          <w:sz w:val="20"/>
          <w:szCs w:val="20"/>
          <w:color w:val="auto"/>
        </w:rPr>
      </w:pPr>
    </w:p>
    <w:p>
      <w:pPr>
        <w:ind w:left="120" w:right="160" w:firstLine="440"/>
        <w:spacing w:after="0" w:line="239" w:lineRule="auto"/>
        <w:rPr>
          <w:sz w:val="20"/>
          <w:szCs w:val="20"/>
          <w:color w:val="auto"/>
        </w:rPr>
      </w:pPr>
      <w:r>
        <w:rPr>
          <w:rFonts w:ascii="Arial" w:cs="Arial" w:eastAsia="Arial" w:hAnsi="Arial"/>
          <w:sz w:val="17"/>
          <w:szCs w:val="17"/>
          <w:color w:val="auto"/>
        </w:rPr>
        <w:t>We may issue the debt securities of a particular series, subscription rights,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2" w:lineRule="exact"/>
        <w:rPr>
          <w:sz w:val="20"/>
          <w:szCs w:val="20"/>
          <w:color w:val="auto"/>
        </w:rPr>
      </w:pPr>
    </w:p>
    <w:p>
      <w:pPr>
        <w:ind w:left="120" w:right="340" w:firstLine="440"/>
        <w:spacing w:after="0" w:line="249" w:lineRule="auto"/>
        <w:rPr>
          <w:sz w:val="20"/>
          <w:szCs w:val="20"/>
          <w:color w:val="auto"/>
        </w:rPr>
      </w:pPr>
      <w:r>
        <w:rPr>
          <w:rFonts w:ascii="Arial" w:cs="Arial" w:eastAsia="Arial" w:hAnsi="Arial"/>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7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8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7"/>
          <w:szCs w:val="17"/>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subscription rights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subscription rights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subscription rights agreement, unit agreement or warrant agreement. We understand that under</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existing industry practices, if we request any action of holders or if an owner of a beneficial interest in a global security desires to give or take any action that a holder is entitled to give or take under the applicable indenture, subscription rights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subscription rights,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82"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7"/>
          <w:szCs w:val="17"/>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sell securities:</w:t>
      </w:r>
    </w:p>
    <w:p>
      <w:pPr>
        <w:spacing w:after="0" w:line="115" w:lineRule="exact"/>
        <w:rPr>
          <w:sz w:val="20"/>
          <w:szCs w:val="20"/>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through underwriters;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through dealers;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through agents;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directly to purchasers; or</w:t>
      </w:r>
    </w:p>
    <w:p>
      <w:pPr>
        <w:spacing w:after="0" w:line="118" w:lineRule="exact"/>
        <w:rPr>
          <w:rFonts w:ascii="MS PGothic" w:cs="MS PGothic" w:eastAsia="MS PGothic" w:hAnsi="MS PGothic"/>
          <w:sz w:val="13"/>
          <w:szCs w:val="13"/>
          <w:color w:val="auto"/>
        </w:rPr>
      </w:pPr>
    </w:p>
    <w:p>
      <w:pPr>
        <w:ind w:left="1080" w:hanging="424"/>
        <w:spacing w:after="0"/>
        <w:tabs>
          <w:tab w:leader="none" w:pos="10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08" w:lineRule="exact"/>
        <w:rPr>
          <w:sz w:val="20"/>
          <w:szCs w:val="20"/>
          <w:color w:val="auto"/>
        </w:rPr>
      </w:pPr>
    </w:p>
    <w:p>
      <w:pPr>
        <w:ind w:left="120" w:right="60" w:firstLine="440"/>
        <w:spacing w:after="0" w:line="249" w:lineRule="auto"/>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5" w:lineRule="exact"/>
        <w:rPr>
          <w:sz w:val="20"/>
          <w:szCs w:val="20"/>
          <w:color w:val="auto"/>
        </w:rPr>
      </w:pPr>
    </w:p>
    <w:p>
      <w:pPr>
        <w:jc w:val="both"/>
        <w:ind w:left="120" w:right="600" w:firstLine="440"/>
        <w:spacing w:after="0" w:line="244"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distribution of the securities may be effected from time to time in one or more transactions:</w:t>
      </w:r>
    </w:p>
    <w:p>
      <w:pPr>
        <w:spacing w:after="0" w:line="115"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at a fixed price, or prices, which may be changed from time to time;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at market prices prevailing at the time of sale;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at prices related to such prevailing market prices; or</w:t>
      </w:r>
    </w:p>
    <w:p>
      <w:pPr>
        <w:spacing w:after="0" w:line="118" w:lineRule="exact"/>
        <w:rPr>
          <w:rFonts w:ascii="MS PGothic" w:cs="MS PGothic" w:eastAsia="MS PGothic" w:hAnsi="MS PGothic"/>
          <w:sz w:val="13"/>
          <w:szCs w:val="13"/>
          <w:color w:val="auto"/>
        </w:rPr>
      </w:pPr>
    </w:p>
    <w:p>
      <w:pPr>
        <w:ind w:left="1080" w:hanging="424"/>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prospectus supplement will describe the method of distribution of the securities and any applicable restrictions.</w:t>
      </w:r>
    </w:p>
    <w:p>
      <w:pPr>
        <w:spacing w:after="0" w:line="210" w:lineRule="exact"/>
        <w:rPr>
          <w:sz w:val="20"/>
          <w:szCs w:val="20"/>
          <w:color w:val="auto"/>
        </w:rPr>
      </w:pPr>
    </w:p>
    <w:p>
      <w:pPr>
        <w:ind w:left="120" w:right="480" w:firstLine="440"/>
        <w:spacing w:after="0" w:line="267" w:lineRule="auto"/>
        <w:rPr>
          <w:sz w:val="20"/>
          <w:szCs w:val="20"/>
          <w:color w:val="auto"/>
        </w:rPr>
      </w:pPr>
      <w:r>
        <w:rPr>
          <w:rFonts w:ascii="Arial" w:cs="Arial" w:eastAsia="Arial" w:hAnsi="Arial"/>
          <w:sz w:val="17"/>
          <w:szCs w:val="17"/>
          <w:color w:val="auto"/>
        </w:rPr>
        <w:t>The prospectus supplement with respect to the securities of a particular series will describe the terms of the offering of the securities, including the following:</w:t>
      </w:r>
    </w:p>
    <w:p>
      <w:pPr>
        <w:spacing w:after="0" w:line="65" w:lineRule="exact"/>
        <w:rPr>
          <w:sz w:val="20"/>
          <w:szCs w:val="20"/>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the name of the agent or any underwriters;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the public offering or purchase price and the proceeds we will receive from the sale of the securities;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any discounts and commissions to be allowed or re-allowed or paid to the agent or underwriters;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all other items constituting underwriting compensation;</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any discounts and commissions to be allowed or re-allowed or paid to dealers; and</w:t>
      </w:r>
    </w:p>
    <w:p>
      <w:pPr>
        <w:spacing w:after="0" w:line="118" w:lineRule="exact"/>
        <w:rPr>
          <w:rFonts w:ascii="MS PGothic" w:cs="MS PGothic" w:eastAsia="MS PGothic" w:hAnsi="MS PGothic"/>
          <w:sz w:val="13"/>
          <w:szCs w:val="13"/>
          <w:color w:val="auto"/>
        </w:rPr>
      </w:pPr>
    </w:p>
    <w:p>
      <w:pPr>
        <w:ind w:left="1080" w:hanging="424"/>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08" w:lineRule="exact"/>
        <w:rPr>
          <w:sz w:val="20"/>
          <w:szCs w:val="20"/>
          <w:color w:val="auto"/>
        </w:rPr>
      </w:pPr>
    </w:p>
    <w:p>
      <w:pPr>
        <w:jc w:val="both"/>
        <w:ind w:left="120" w:right="180" w:firstLine="440"/>
        <w:spacing w:after="0" w:line="249"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7" w:lineRule="exact"/>
        <w:rPr>
          <w:sz w:val="20"/>
          <w:szCs w:val="20"/>
          <w:color w:val="auto"/>
        </w:rPr>
      </w:pPr>
    </w:p>
    <w:p>
      <w:pPr>
        <w:jc w:val="both"/>
        <w:ind w:left="120" w:right="60" w:firstLine="440"/>
        <w:spacing w:after="0" w:line="249" w:lineRule="auto"/>
        <w:rPr>
          <w:sz w:val="20"/>
          <w:szCs w:val="20"/>
          <w:color w:val="auto"/>
        </w:rPr>
      </w:pPr>
      <w:r>
        <w:rPr>
          <w:rFonts w:ascii="Arial" w:cs="Arial" w:eastAsia="Arial" w:hAnsi="Arial"/>
          <w:sz w:val="17"/>
          <w:szCs w:val="17"/>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8" w:lineRule="exact"/>
        <w:rPr>
          <w:sz w:val="20"/>
          <w:szCs w:val="20"/>
          <w:color w:val="auto"/>
        </w:rPr>
      </w:pPr>
    </w:p>
    <w:p>
      <w:pPr>
        <w:ind w:left="980" w:hanging="432"/>
        <w:spacing w:after="0" w:line="267"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purchase by an institution of the securities covered under that contract shall not at the time of delivery be prohibited under the laws of the jurisdiction to which that institution is subject; and</w:t>
      </w:r>
    </w:p>
    <w:p>
      <w:pPr>
        <w:spacing w:after="0" w:line="64" w:lineRule="exact"/>
        <w:rPr>
          <w:rFonts w:ascii="MS PGothic" w:cs="MS PGothic" w:eastAsia="MS PGothic" w:hAnsi="MS PGothic"/>
          <w:sz w:val="13"/>
          <w:szCs w:val="13"/>
          <w:color w:val="auto"/>
        </w:rPr>
      </w:pPr>
    </w:p>
    <w:p>
      <w:pPr>
        <w:ind w:left="980" w:right="120" w:hanging="432"/>
        <w:spacing w:after="0" w:line="249"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5" w:lineRule="exact"/>
        <w:rPr>
          <w:sz w:val="20"/>
          <w:szCs w:val="20"/>
          <w:color w:val="auto"/>
        </w:rPr>
      </w:pPr>
    </w:p>
    <w:p>
      <w:pPr>
        <w:jc w:val="both"/>
        <w:ind w:left="120" w:right="560" w:firstLine="440"/>
        <w:spacing w:after="0" w:line="249" w:lineRule="auto"/>
        <w:rPr>
          <w:sz w:val="20"/>
          <w:szCs w:val="20"/>
          <w:color w:val="auto"/>
        </w:rPr>
      </w:pPr>
      <w:r>
        <w:rPr>
          <w:rFonts w:ascii="Arial" w:cs="Arial" w:eastAsia="Arial" w:hAnsi="Arial"/>
          <w:sz w:val="17"/>
          <w:szCs w:val="17"/>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5" w:lineRule="exact"/>
        <w:rPr>
          <w:sz w:val="20"/>
          <w:szCs w:val="20"/>
          <w:color w:val="auto"/>
        </w:rPr>
      </w:pPr>
    </w:p>
    <w:p>
      <w:pPr>
        <w:ind w:left="120" w:firstLine="440"/>
        <w:spacing w:after="0" w:line="236"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87"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7"/>
          <w:szCs w:val="17"/>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08" w:lineRule="exact"/>
        <w:rPr>
          <w:sz w:val="20"/>
          <w:szCs w:val="20"/>
          <w:color w:val="auto"/>
        </w:rPr>
      </w:pPr>
    </w:p>
    <w:p>
      <w:pPr>
        <w:ind w:left="120" w:right="140" w:firstLine="440"/>
        <w:spacing w:after="0" w:line="267" w:lineRule="auto"/>
        <w:rPr>
          <w:sz w:val="20"/>
          <w:szCs w:val="20"/>
          <w:color w:val="auto"/>
        </w:rPr>
      </w:pPr>
      <w:r>
        <w:rPr>
          <w:rFonts w:ascii="Arial" w:cs="Arial" w:eastAsia="Arial" w:hAnsi="Arial"/>
          <w:sz w:val="17"/>
          <w:szCs w:val="17"/>
          <w:color w:val="auto"/>
        </w:rPr>
        <w:t>Unless the applicable prospectus supplement indicates otherwise, the validity of the securities in respect of which this prospectus is being delivered will be passed upon by Wilmer Cutler Pickering Hale and Dorr LLP.</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08"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7"/>
          <w:szCs w:val="17"/>
          <w:color w:val="auto"/>
        </w:rPr>
        <w:t>The financial statements of Eliem Therapeutics, Inc.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75" w:lineRule="exact"/>
        <w:rPr>
          <w:sz w:val="20"/>
          <w:szCs w:val="20"/>
          <w:color w:val="auto"/>
        </w:rPr>
      </w:pPr>
    </w:p>
    <w:p>
      <w:pPr>
        <w:ind w:left="120" w:right="120" w:firstLine="440"/>
        <w:spacing w:after="0" w:line="241" w:lineRule="auto"/>
        <w:rPr>
          <w:sz w:val="20"/>
          <w:szCs w:val="20"/>
          <w:color w:val="auto"/>
        </w:rPr>
      </w:pPr>
      <w:r>
        <w:rPr>
          <w:rFonts w:ascii="Arial" w:cs="Arial" w:eastAsia="Arial" w:hAnsi="Arial"/>
          <w:sz w:val="17"/>
          <w:szCs w:val="17"/>
          <w:color w:val="auto"/>
        </w:rPr>
        <w:t>The financial statements of Tenet Medicines, Inc. as of December 31, 2023 and for the period from November 8, 2023 (inception) to December 31, 2023 incorporated by reference in this prospectus by reference to Climb Bio, Inc.’s (formerly known as Eliem Therapeutic, Inc.) Current Report on Form 8-K dated June 27, 2024 have been audited by Deloitte &amp; Touche LLP, an independent auditor, as stated in their report. Such financial statements are incorporated by reference in reliance upon the report of such firm given upon their authority as experts in accounting and auditing.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80"/>
          </w:cols>
          <w:pgMar w:left="320" w:top="455"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1115695</wp:posOffset>
            </wp:positionV>
            <wp:extent cx="2288540" cy="420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2288540" cy="42037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20"/>
        <w:spacing w:after="0"/>
        <w:rPr>
          <w:sz w:val="20"/>
          <w:szCs w:val="20"/>
          <w:color w:val="auto"/>
        </w:rPr>
      </w:pPr>
      <w:r>
        <w:rPr>
          <w:rFonts w:ascii="Arial" w:cs="Arial" w:eastAsia="Arial" w:hAnsi="Arial"/>
          <w:sz w:val="35"/>
          <w:szCs w:val="35"/>
          <w:b w:val="1"/>
          <w:bCs w:val="1"/>
          <w:color w:val="auto"/>
        </w:rPr>
        <w:t>Up to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873125</wp:posOffset>
            </wp:positionV>
            <wp:extent cx="22459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151765</wp:posOffset>
            </wp:positionV>
            <wp:extent cx="22459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403225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866"/>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lvl w:ilvl="1">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lvl w:ilvl="1">
      <w:lvlJc w:val="left"/>
      <w:lvlText w:val="•"/>
      <w:numFmt w:val="bullet"/>
      <w:start w:val="1"/>
    </w:lvl>
  </w:abstractNum>
  <w:abstractNum w:abstractNumId="34">
    <w:nsid w:val="5072367"/>
    <w:multiLevelType w:val="hybridMultilevel"/>
    <w:lvl w:ilvl="0">
      <w:lvlJc w:val="left"/>
      <w:lvlText w:val="∎"/>
      <w:numFmt w:val="bullet"/>
      <w:start w:val="1"/>
    </w:lvl>
    <w:lvl w:ilvl="1">
      <w:lvlJc w:val="left"/>
      <w:lvlText w:val="•"/>
      <w:numFmt w:val="bullet"/>
      <w:start w:val="1"/>
    </w:lvl>
  </w:abstractNum>
  <w:abstractNum w:abstractNumId="35">
    <w:nsid w:val="3804823E"/>
    <w:multiLevelType w:val="hybridMultilevel"/>
    <w:lvl w:ilvl="0">
      <w:lvlJc w:val="left"/>
      <w:lvlText w:val="∎"/>
      <w:numFmt w:val="bullet"/>
      <w:start w:val="1"/>
    </w:lvl>
    <w:lvl w:ilvl="1">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jpe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jpe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33" Type="http://schemas.openxmlformats.org/officeDocument/2006/relationships/hyperlink" Target="http://www.sec.gov/ix?doc=/Archives/edgar/data/0001768446/000119312526092546/clym-20251231.htm" TargetMode="External"/><Relationship Id="rId34" Type="http://schemas.openxmlformats.org/officeDocument/2006/relationships/hyperlink" Target="http://www.sec.gov/ix?doc=/Archives/edgar/data/1768446/000119312526177271/d78900ddef14a.htm" TargetMode="External"/><Relationship Id="rId35" Type="http://schemas.openxmlformats.org/officeDocument/2006/relationships/hyperlink" Target="http://www.sec.gov/ix?doc=/Archives/edgar/data/0001768446/000119312526210357/clym-20260331.htm" TargetMode="External"/><Relationship Id="rId36" Type="http://schemas.openxmlformats.org/officeDocument/2006/relationships/hyperlink" Target="http://www.sec.gov/ix?doc=/Archives/edgar/data/0001768446/000119312526183711/d153155d8k.htm" TargetMode="External"/><Relationship Id="rId37" Type="http://schemas.openxmlformats.org/officeDocument/2006/relationships/hyperlink" Target="http://www.sec.gov/ix?doc=/Archives/edgar/data/1768446/000119312526258372/d132290d8k.htm" TargetMode="External"/><Relationship Id="rId38" Type="http://schemas.openxmlformats.org/officeDocument/2006/relationships/hyperlink" Target="http://www.sec.gov/ix?doc=/Archives/edgar/data/0001768446/000119312526261716/d72849d8k.htm" TargetMode="External"/><Relationship Id="rId39" Type="http://schemas.openxmlformats.org/officeDocument/2006/relationships/hyperlink" Target="http://www.sec.gov/ix?doc=/Archives/edgar/data/0001768446/000119312526266688/d63753d8k.htm" TargetMode="External"/><Relationship Id="rId40" Type="http://schemas.openxmlformats.org/officeDocument/2006/relationships/hyperlink" Target="http://www.sec.gov/Archives/edgar/data/1768446/000119312521235064/d120929d8a12b.htm" TargetMode="External"/><Relationship Id="rId41" Type="http://schemas.openxmlformats.org/officeDocument/2006/relationships/hyperlink" Target="http://www.sec.gov/Archives/edgar/data/1768446/000095017025044350/clym-ex4_3.htm" TargetMode="External"/><Relationship Id="rId42" Type="http://schemas.openxmlformats.org/officeDocument/2006/relationships/hyperlink" Target="http://www.sec.gov/ix?doc=/Archives/edgar/data/0001768446/000095017025044350/clym-20241231.htm" TargetMode="External"/><Relationship Id="rId51" Type="http://schemas.openxmlformats.org/officeDocument/2006/relationships/hyperlink" Target="http://www.sec.gov/ix?doc=/Archives/edgar/data/0001768446/000095017024038023/elym-20231231.htm" TargetMode="External"/><Relationship Id="rId52" Type="http://schemas.openxmlformats.org/officeDocument/2006/relationships/hyperlink" Target="http://www.sec.gov/ix?doc=/Archives/edgar/data/0001768446/000119312524122192/d831708d10ka.htm" TargetMode="External"/><Relationship Id="rId53" Type="http://schemas.openxmlformats.org/officeDocument/2006/relationships/hyperlink" Target="http://www.sec.gov/ix?doc=/Archives/edgar/data/0001768446/000095017024059995/elym-20240331.htm" TargetMode="External"/><Relationship Id="rId54" Type="http://schemas.openxmlformats.org/officeDocument/2006/relationships/hyperlink" Target="http://www.sec.gov/ix?doc=/Archives/edgar/data/0001768446/000095017024096626/elym-20240630.htm" TargetMode="External"/><Relationship Id="rId55" Type="http://schemas.openxmlformats.org/officeDocument/2006/relationships/hyperlink" Target="http://www.sec.gov/ix?doc=/Archives/edgar/data/0001768446/000095017024125294/clym-20240930.htm" TargetMode="External"/><Relationship Id="rId56" Type="http://schemas.openxmlformats.org/officeDocument/2006/relationships/hyperlink" Target="http://www.sec.gov/ix?doc=/Archives/edgar/data/0001768446/000119312524170599/d692630d8k.htm" TargetMode="External"/><Relationship Id="rId57" Type="http://schemas.openxmlformats.org/officeDocument/2006/relationships/hyperlink" Target="http://www.sec.gov/ix?doc=/Archives/edgar/data/0001768446/000119312524206655/d866047d8k.htm" TargetMode="External"/><Relationship Id="rId58" Type="http://schemas.openxmlformats.org/officeDocument/2006/relationships/hyperlink" Target="http://www.sec.gov/ix?doc=/Archives/edgar/data/0001768446/000119312524207854/d884075d8k.htm" TargetMode="External"/><Relationship Id="rId59" Type="http://schemas.openxmlformats.org/officeDocument/2006/relationships/hyperlink" Target="http://www.sec.gov/ix?doc=/Archives/edgar/data/0001768446/000119312524231167/d888487d8k.htm" TargetMode="External"/><Relationship Id="rId60" Type="http://schemas.openxmlformats.org/officeDocument/2006/relationships/hyperlink" Target="http://www.sec.gov/ix?doc=/Archives/edgar/data/0001768446/000095017024125336/clym-20241112.htm" TargetMode="External"/><Relationship Id="rId61" Type="http://schemas.openxmlformats.org/officeDocument/2006/relationships/hyperlink" Target="http://www.sec.gov/Archives/edgar/data/1768446/000095017022002998/elym-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2026-06-12T15:27:34Z</dcterms:created>
  <dcterms:modified xsi:type="dcterms:W3CDTF">2026-06-12T15:27:34Z</dcterms:modified>
</cp:coreProperties>
</file>