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72849d8k.htm"/>
      <w:bookmarkStart w:id="1" w:name="ksd7284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June 5,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CLIMB BIO,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001-40708</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83-2273741</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 William Street, Suite 145</w:t>
            </w:r>
          </w:p>
          <w:p>
            <w:pPr>
              <w:pStyle w:val="TableContents"/>
              <w:bidi w:val="0"/>
              <w:spacing w:before="0" w:after="20"/>
              <w:jc w:val="center"/>
              <w:rPr>
                <w:rFonts w:ascii="Times New Roman" w:hAnsi="Times New Roman"/>
                <w:b/>
                <w:sz w:val="20"/>
              </w:rPr>
            </w:pPr>
            <w:r>
              <w:rPr>
                <w:rFonts w:ascii="Times New Roman" w:hAnsi="Times New Roman"/>
                <w:b/>
                <w:sz w:val="20"/>
              </w:rPr>
              <w:t>Wellesley Hills,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02481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(866) 857-2596</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75" w:type="dxa"/>
        <w:jc w:val="left"/>
        <w:tblInd w:w="0" w:type="dxa"/>
        <w:tblLayout w:type="fixed"/>
        <w:tblCellMar>
          <w:top w:w="0" w:type="dxa"/>
          <w:left w:w="0" w:type="dxa"/>
          <w:bottom w:w="0" w:type="dxa"/>
          <w:right w:w="0" w:type="dxa"/>
        </w:tblCellMar>
      </w:tblPr>
      <w:tblGrid>
        <w:gridCol w:w="4265"/>
        <w:gridCol w:w="60"/>
        <w:gridCol w:w="740"/>
        <w:gridCol w:w="60"/>
        <w:gridCol w:w="305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CLYM</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Global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the 2026 Annual Meeting of Stockholders of Climb Bio, Inc. (the “Company”) held on June 5, 2026 (the “Annual Meeting”), the Company’s stockholders approved an amendment (the “2021 Plan Amendment”) to the Company’s 2021 Equity Incentive Plan (the “2021 Plan”) to amend the provision providing for an automatic share pool increase to include prefunded warrants in the calculation of the annual increase. The 2021 Plan Amendment had previously been adopted by the Company’s Board of Directors, subject to stockholder approval. The other terms of the 2021 Plan remain unchanged.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of the 2021 Plan, as amended, contained on pages 47 to 60 of the Company’s Definitive Proxy Statement for the Annual Meeting, filed with the Securities and Exchange Commission on April 24, 2026, is incorporated herein by reference. A complete copy of the 2021 Plan, as amended, is attached hereto as Exhibit 99.1 and is incorporated herein by reference. </w:t>
      </w:r>
    </w:p>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965"/>
        <w:gridCol w:w="4475"/>
      </w:tblGrid>
      <w:tr>
        <w:trPr/>
        <w:tc>
          <w:tcPr>
            <w:tcW w:w="965" w:type="dxa"/>
            <w:tcBorders/>
            <w:vAlign w:val="center"/>
          </w:tcPr>
          <w:p>
            <w:pPr>
              <w:pStyle w:val="TableContents"/>
              <w:bidi w:val="0"/>
              <w:spacing w:before="0" w:after="283"/>
              <w:jc w:val="left"/>
              <w:rPr>
                <w:b/>
              </w:rPr>
            </w:pPr>
            <w:r>
              <w:rPr>
                <w:b/>
              </w:rPr>
              <w:t>Item 5.07</w:t>
            </w:r>
          </w:p>
        </w:tc>
        <w:tc>
          <w:tcPr>
            <w:tcW w:w="44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Submission of Matters to a Vote of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the Annual Meeting, the Company’s stockholders voted on the following proposals: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8"/>
        <w:gridCol w:w="9972"/>
      </w:tblGrid>
      <w:tr>
        <w:trPr/>
        <w:tc>
          <w:tcPr>
            <w:tcW w:w="75" w:type="dxa"/>
            <w:tcBorders/>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1.</w:t>
            </w:r>
          </w:p>
        </w:tc>
        <w:tc>
          <w:tcPr>
            <w:tcW w:w="99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of the Company elected Alexander (Bo) Cumbo and Douglas Williams, Ph.D., to the Company’s Board of Directors, each to serve for a three-year term expiring at the 2029 annual meeting of stockholders and until his respective successor has been duly elected and qualified. The results of the stockholders’ vote with respect to such matter were as follows: </w:t>
            </w:r>
          </w:p>
        </w:tc>
      </w:tr>
    </w:tbl>
    <w:p>
      <w:pPr>
        <w:pStyle w:val="TextBody"/>
        <w:bidi w:val="0"/>
        <w:spacing w:before="0" w:after="0"/>
        <w:jc w:val="left"/>
        <w:rPr/>
      </w:pPr>
      <w:r>
        <w:rPr/>
        <w:t> </w:t>
      </w:r>
    </w:p>
    <w:tbl>
      <w:tblPr>
        <w:tblW w:w="5840" w:type="dxa"/>
        <w:jc w:val="left"/>
        <w:tblInd w:w="0" w:type="dxa"/>
        <w:tblLayout w:type="fixed"/>
        <w:tblCellMar>
          <w:top w:w="0" w:type="dxa"/>
          <w:left w:w="0" w:type="dxa"/>
          <w:bottom w:w="0" w:type="dxa"/>
          <w:right w:w="0" w:type="dxa"/>
        </w:tblCellMar>
      </w:tblPr>
      <w:tblGrid>
        <w:gridCol w:w="2405"/>
        <w:gridCol w:w="120"/>
        <w:gridCol w:w="1100"/>
        <w:gridCol w:w="120"/>
        <w:gridCol w:w="980"/>
        <w:gridCol w:w="120"/>
        <w:gridCol w:w="995"/>
      </w:tblGrid>
      <w:tr>
        <w:trPr/>
        <w:tc>
          <w:tcPr>
            <w:tcW w:w="24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center"/>
              <w:rPr>
                <w:b/>
              </w:rPr>
            </w:pPr>
            <w:r>
              <w:rPr>
                <w:b/>
              </w:rPr>
              <w:t>Votes For</w:t>
            </w:r>
          </w:p>
        </w:tc>
        <w:tc>
          <w:tcPr>
            <w:tcW w:w="120" w:type="dxa"/>
            <w:tcBorders/>
            <w:vAlign w:val="center"/>
          </w:tcPr>
          <w:p>
            <w:pPr>
              <w:pStyle w:val="TableContents"/>
              <w:bidi w:val="0"/>
              <w:spacing w:before="0" w:after="283"/>
              <w:jc w:val="left"/>
              <w:rPr/>
            </w:pPr>
            <w:r>
              <w:rPr/>
              <w:t>  </w:t>
            </w:r>
          </w:p>
        </w:tc>
        <w:tc>
          <w:tcPr>
            <w:tcW w:w="98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Votes</w:t>
            </w:r>
          </w:p>
          <w:p>
            <w:pPr>
              <w:pStyle w:val="TableContents"/>
              <w:bidi w:val="0"/>
              <w:spacing w:before="0" w:after="20"/>
              <w:jc w:val="center"/>
              <w:rPr>
                <w:rFonts w:ascii="Times New Roman" w:hAnsi="Times New Roman"/>
                <w:b/>
                <w:sz w:val="16"/>
              </w:rPr>
            </w:pPr>
            <w:r>
              <w:rPr>
                <w:rFonts w:ascii="Times New Roman" w:hAnsi="Times New Roman"/>
                <w:b/>
                <w:sz w:val="16"/>
              </w:rPr>
              <w:t>Withheld</w:t>
            </w:r>
          </w:p>
        </w:tc>
        <w:tc>
          <w:tcPr>
            <w:tcW w:w="120" w:type="dxa"/>
            <w:tcBorders/>
            <w:vAlign w:val="center"/>
          </w:tcPr>
          <w:p>
            <w:pPr>
              <w:pStyle w:val="TableContents"/>
              <w:bidi w:val="0"/>
              <w:spacing w:before="0" w:after="283"/>
              <w:jc w:val="left"/>
              <w:rPr/>
            </w:pPr>
            <w:r>
              <w:rPr/>
              <w:t>  </w:t>
            </w:r>
          </w:p>
        </w:tc>
        <w:tc>
          <w:tcPr>
            <w:tcW w:w="9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Broker Non-</w:t>
            </w:r>
          </w:p>
          <w:p>
            <w:pPr>
              <w:pStyle w:val="TableContents"/>
              <w:bidi w:val="0"/>
              <w:spacing w:before="0" w:after="20"/>
              <w:jc w:val="center"/>
              <w:rPr>
                <w:rFonts w:ascii="Times New Roman" w:hAnsi="Times New Roman"/>
                <w:b/>
                <w:sz w:val="16"/>
              </w:rPr>
            </w:pPr>
            <w:r>
              <w:rPr>
                <w:rFonts w:ascii="Times New Roman" w:hAnsi="Times New Roman"/>
                <w:b/>
                <w:sz w:val="16"/>
              </w:rPr>
              <w:t>Votes</w:t>
            </w:r>
          </w:p>
        </w:tc>
      </w:tr>
      <w:tr>
        <w:trPr/>
        <w:tc>
          <w:tcPr>
            <w:tcW w:w="2405" w:type="dxa"/>
            <w:tcBorders/>
            <w:vAlign w:val="center"/>
          </w:tcPr>
          <w:p>
            <w:pPr>
              <w:pStyle w:val="TableContents"/>
              <w:bidi w:val="0"/>
              <w:spacing w:before="0" w:after="283"/>
              <w:jc w:val="left"/>
              <w:rPr/>
            </w:pPr>
            <w:r>
              <w:rPr/>
              <w:t>Alexander (Bo) Cumbo</w:t>
            </w:r>
          </w:p>
        </w:tc>
        <w:tc>
          <w:tcPr>
            <w:tcW w:w="12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26,035,689</w:t>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1,395,615</w:t>
            </w:r>
          </w:p>
        </w:tc>
        <w:tc>
          <w:tcPr>
            <w:tcW w:w="12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7,841,185</w:t>
            </w:r>
          </w:p>
        </w:tc>
      </w:tr>
      <w:tr>
        <w:trPr/>
        <w:tc>
          <w:tcPr>
            <w:tcW w:w="2405" w:type="dxa"/>
            <w:tcBorders/>
            <w:vAlign w:val="center"/>
          </w:tcPr>
          <w:p>
            <w:pPr>
              <w:pStyle w:val="TableContents"/>
              <w:bidi w:val="0"/>
              <w:spacing w:before="0" w:after="283"/>
              <w:jc w:val="left"/>
              <w:rPr/>
            </w:pPr>
            <w:r>
              <w:rPr/>
              <w:t>Douglas Williams, Ph.D.</w:t>
            </w:r>
          </w:p>
        </w:tc>
        <w:tc>
          <w:tcPr>
            <w:tcW w:w="12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24,505,866</w:t>
            </w:r>
          </w:p>
        </w:tc>
        <w:tc>
          <w:tcPr>
            <w:tcW w:w="12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pPr>
            <w:r>
              <w:rPr/>
              <w:t>2,924,838</w:t>
            </w:r>
          </w:p>
        </w:tc>
        <w:tc>
          <w:tcPr>
            <w:tcW w:w="12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7,841,185</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3"/>
        <w:gridCol w:w="9967"/>
      </w:tblGrid>
      <w:tr>
        <w:trPr/>
        <w:tc>
          <w:tcPr>
            <w:tcW w:w="75"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2.</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of the Company ratified the selection of PricewaterhouseCoopers LLP as the Company’s independent registered public accounting firm for the fiscal year ending December 31, 2026. The results of the stockholders’ vote with respect to such matter were as follows: </w:t>
            </w:r>
          </w:p>
        </w:tc>
      </w:tr>
    </w:tbl>
    <w:p>
      <w:pPr>
        <w:pStyle w:val="TextBody"/>
        <w:bidi w:val="0"/>
        <w:spacing w:before="0" w:after="0"/>
        <w:jc w:val="left"/>
        <w:rPr/>
      </w:pPr>
      <w:r>
        <w:rPr/>
        <w:t> </w:t>
      </w:r>
    </w:p>
    <w:tbl>
      <w:tblPr>
        <w:tblW w:w="3135" w:type="dxa"/>
        <w:jc w:val="left"/>
        <w:tblInd w:w="0" w:type="dxa"/>
        <w:tblLayout w:type="fixed"/>
        <w:tblCellMar>
          <w:top w:w="0" w:type="dxa"/>
          <w:left w:w="0" w:type="dxa"/>
          <w:bottom w:w="0" w:type="dxa"/>
          <w:right w:w="0" w:type="dxa"/>
        </w:tblCellMar>
      </w:tblPr>
      <w:tblGrid>
        <w:gridCol w:w="1115"/>
        <w:gridCol w:w="60"/>
        <w:gridCol w:w="1025"/>
        <w:gridCol w:w="60"/>
        <w:gridCol w:w="87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7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r>
      <w:tr>
        <w:trPr/>
        <w:tc>
          <w:tcPr>
            <w:tcW w:w="1115" w:type="dxa"/>
            <w:tcBorders/>
            <w:vAlign w:val="center"/>
          </w:tcPr>
          <w:p>
            <w:pPr>
              <w:pStyle w:val="TableContents"/>
              <w:bidi w:val="0"/>
              <w:spacing w:before="0" w:after="283"/>
              <w:jc w:val="center"/>
              <w:rPr/>
            </w:pPr>
            <w:r>
              <w:rPr/>
              <w:t>35,206,304</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63,633</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pPr>
            <w:r>
              <w:rPr/>
              <w:t>2,552</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4"/>
        <w:gridCol w:w="9966"/>
      </w:tblGrid>
      <w:tr>
        <w:trPr/>
        <w:tc>
          <w:tcPr>
            <w:tcW w:w="7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3.</w:t>
            </w:r>
          </w:p>
        </w:tc>
        <w:tc>
          <w:tcPr>
            <w:tcW w:w="996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of the Company did not approve an amendment to the Company’s Amended and Restated Certificate of Incorporation, as amended, relating to the removal of directors for “cause”. The results of the stockholders’ vote with respect to such matter were as follows: </w:t>
            </w:r>
          </w:p>
        </w:tc>
      </w:tr>
    </w:tbl>
    <w:p>
      <w:pPr>
        <w:pStyle w:val="TextBody"/>
        <w:bidi w:val="0"/>
        <w:spacing w:before="0" w:after="0"/>
        <w:jc w:val="left"/>
        <w:rPr/>
      </w:pPr>
      <w:r>
        <w:rPr/>
        <w:t> </w:t>
      </w:r>
    </w:p>
    <w:tbl>
      <w:tblPr>
        <w:tblW w:w="4175" w:type="dxa"/>
        <w:jc w:val="left"/>
        <w:tblInd w:w="0" w:type="dxa"/>
        <w:tblLayout w:type="fixed"/>
        <w:tblCellMar>
          <w:top w:w="0" w:type="dxa"/>
          <w:left w:w="0" w:type="dxa"/>
          <w:bottom w:w="0" w:type="dxa"/>
          <w:right w:w="0" w:type="dxa"/>
        </w:tblCellMar>
      </w:tblPr>
      <w:tblGrid>
        <w:gridCol w:w="1115"/>
        <w:gridCol w:w="60"/>
        <w:gridCol w:w="1025"/>
        <w:gridCol w:w="60"/>
        <w:gridCol w:w="860"/>
        <w:gridCol w:w="60"/>
        <w:gridCol w:w="99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9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w:t>
              <w:br/>
              <w:t>Votes</w:t>
            </w:r>
          </w:p>
        </w:tc>
      </w:tr>
      <w:tr>
        <w:trPr/>
        <w:tc>
          <w:tcPr>
            <w:tcW w:w="1115" w:type="dxa"/>
            <w:tcBorders/>
            <w:vAlign w:val="center"/>
          </w:tcPr>
          <w:p>
            <w:pPr>
              <w:pStyle w:val="TableContents"/>
              <w:bidi w:val="0"/>
              <w:spacing w:before="0" w:after="283"/>
              <w:jc w:val="center"/>
              <w:rPr/>
            </w:pPr>
            <w:r>
              <w:rPr/>
              <w:t>27,299,535</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130,187</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pPr>
            <w:r>
              <w:rPr/>
              <w:t>1,582</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7,841,185</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6"/>
        <w:gridCol w:w="9944"/>
      </w:tblGrid>
      <w:tr>
        <w:trPr/>
        <w:tc>
          <w:tcPr>
            <w:tcW w:w="75"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4.</w:t>
            </w:r>
          </w:p>
        </w:tc>
        <w:tc>
          <w:tcPr>
            <w:tcW w:w="99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stockholders of the Company approved the 2021 Plan Amendment. The results of the stockholders’ vote with respect to such matter were as follows: </w:t>
            </w:r>
          </w:p>
        </w:tc>
      </w:tr>
    </w:tbl>
    <w:p>
      <w:pPr>
        <w:pStyle w:val="TextBody"/>
        <w:bidi w:val="0"/>
        <w:spacing w:before="0" w:after="0"/>
        <w:jc w:val="left"/>
        <w:rPr/>
      </w:pPr>
      <w:r>
        <w:rPr/>
        <w:t> </w:t>
      </w:r>
    </w:p>
    <w:tbl>
      <w:tblPr>
        <w:tblW w:w="4175" w:type="dxa"/>
        <w:jc w:val="left"/>
        <w:tblInd w:w="0" w:type="dxa"/>
        <w:tblLayout w:type="fixed"/>
        <w:tblCellMar>
          <w:top w:w="0" w:type="dxa"/>
          <w:left w:w="0" w:type="dxa"/>
          <w:bottom w:w="0" w:type="dxa"/>
          <w:right w:w="0" w:type="dxa"/>
        </w:tblCellMar>
      </w:tblPr>
      <w:tblGrid>
        <w:gridCol w:w="1115"/>
        <w:gridCol w:w="60"/>
        <w:gridCol w:w="1025"/>
        <w:gridCol w:w="60"/>
        <w:gridCol w:w="860"/>
        <w:gridCol w:w="60"/>
        <w:gridCol w:w="995"/>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For</w:t>
            </w:r>
          </w:p>
        </w:tc>
        <w:tc>
          <w:tcPr>
            <w:tcW w:w="60" w:type="dxa"/>
            <w:tcBorders/>
            <w:vAlign w:val="center"/>
          </w:tcPr>
          <w:p>
            <w:pPr>
              <w:pStyle w:val="TableContents"/>
              <w:bidi w:val="0"/>
              <w:spacing w:before="0" w:after="283"/>
              <w:jc w:val="left"/>
              <w:rPr/>
            </w:pPr>
            <w:r>
              <w:rPr/>
              <w:t> </w:t>
            </w:r>
          </w:p>
        </w:tc>
        <w:tc>
          <w:tcPr>
            <w:tcW w:w="1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Votes Against</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Abstentions</w:t>
            </w:r>
          </w:p>
        </w:tc>
        <w:tc>
          <w:tcPr>
            <w:tcW w:w="60" w:type="dxa"/>
            <w:tcBorders/>
            <w:vAlign w:val="center"/>
          </w:tcPr>
          <w:p>
            <w:pPr>
              <w:pStyle w:val="TableContents"/>
              <w:bidi w:val="0"/>
              <w:spacing w:before="0" w:after="283"/>
              <w:jc w:val="left"/>
              <w:rPr/>
            </w:pPr>
            <w:r>
              <w:rPr/>
              <w:t> </w:t>
            </w:r>
          </w:p>
        </w:tc>
        <w:tc>
          <w:tcPr>
            <w:tcW w:w="9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Broker Non-</w:t>
              <w:br/>
              <w:t>Votes</w:t>
            </w:r>
          </w:p>
        </w:tc>
      </w:tr>
      <w:tr>
        <w:trPr/>
        <w:tc>
          <w:tcPr>
            <w:tcW w:w="1115" w:type="dxa"/>
            <w:tcBorders/>
            <w:vAlign w:val="center"/>
          </w:tcPr>
          <w:p>
            <w:pPr>
              <w:pStyle w:val="TableContents"/>
              <w:bidi w:val="0"/>
              <w:spacing w:before="0" w:after="283"/>
              <w:jc w:val="center"/>
              <w:rPr/>
            </w:pPr>
            <w:r>
              <w:rPr/>
              <w:t>19,604,493</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pPr>
            <w:r>
              <w:rPr/>
              <w:t>7,810,582</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pPr>
            <w:r>
              <w:rPr/>
              <w:t>16,229</w:t>
            </w:r>
          </w:p>
        </w:tc>
        <w:tc>
          <w:tcPr>
            <w:tcW w:w="6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7,841,185</w:t>
            </w:r>
          </w:p>
        </w:tc>
      </w:tr>
    </w:tbl>
    <w:p>
      <w:pPr>
        <w:pStyle w:val="HorizontalLine"/>
        <w:bidi w:val="0"/>
        <w:jc w:val="left"/>
        <w:rPr/>
      </w:pPr>
      <w:r>
        <w:br w:type="page"/>
      </w: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(d) Exhibits</w:t>
      </w:r>
    </w:p>
    <w:p>
      <w:pPr>
        <w:pStyle w:val="TextBody"/>
        <w:bidi w:val="0"/>
        <w:spacing w:before="0" w:after="0"/>
        <w:jc w:val="left"/>
        <w:rPr/>
      </w:pPr>
      <w:r>
        <w:rPr/>
        <w:t> </w:t>
      </w:r>
    </w:p>
    <w:tbl>
      <w:tblPr>
        <w:tblW w:w="9010" w:type="dxa"/>
        <w:jc w:val="left"/>
        <w:tblInd w:w="0" w:type="dxa"/>
        <w:tblLayout w:type="fixed"/>
        <w:tblCellMar>
          <w:top w:w="0" w:type="dxa"/>
          <w:left w:w="0" w:type="dxa"/>
          <w:bottom w:w="0" w:type="dxa"/>
          <w:right w:w="0" w:type="dxa"/>
        </w:tblCellMar>
      </w:tblPr>
      <w:tblGrid>
        <w:gridCol w:w="1205"/>
        <w:gridCol w:w="120"/>
        <w:gridCol w:w="7685"/>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center"/>
              <w:rPr>
                <w:b/>
              </w:rPr>
            </w:pPr>
            <w:r>
              <w:rPr>
                <w:b/>
              </w:rPr>
              <w:t>Exhibit No.</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b/>
              </w:rPr>
            </w:pPr>
            <w:r>
              <w:rPr>
                <w:b/>
              </w:rPr>
              <w:t>Description</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72849dex991.htm">
              <w:r>
                <w:rPr>
                  <w:rStyle w:val="InternetLink"/>
                </w:rPr>
                <w:t xml:space="preserve">2021 Equity Incentive Plan, as amended.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300" w:type="dxa"/>
        <w:jc w:val="left"/>
        <w:tblInd w:w="0" w:type="dxa"/>
        <w:tblLayout w:type="fixed"/>
        <w:tblCellMar>
          <w:top w:w="0" w:type="dxa"/>
          <w:left w:w="0" w:type="dxa"/>
          <w:bottom w:w="0" w:type="dxa"/>
          <w:right w:w="0" w:type="dxa"/>
        </w:tblCellMar>
      </w:tblPr>
      <w:tblGrid>
        <w:gridCol w:w="1820"/>
        <w:gridCol w:w="60"/>
        <w:gridCol w:w="60"/>
        <w:gridCol w:w="60"/>
        <w:gridCol w:w="365"/>
        <w:gridCol w:w="60"/>
        <w:gridCol w:w="3875"/>
      </w:tblGrid>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75" w:type="dxa"/>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b/>
              </w:rPr>
            </w:pPr>
            <w:r>
              <w:rPr>
                <w:b/>
              </w:rPr>
              <w:t>Climb Bio, Inc.</w:t>
            </w:r>
          </w:p>
        </w:tc>
      </w:tr>
      <w:tr>
        <w:trPr/>
        <w:tc>
          <w:tcPr>
            <w:tcW w:w="1820"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935" w:type="dxa"/>
            <w:gridSpan w:val="2"/>
            <w:tcBorders/>
            <w:vAlign w:val="center"/>
          </w:tcPr>
          <w:p>
            <w:pPr>
              <w:pStyle w:val="TableContents"/>
              <w:bidi w:val="0"/>
              <w:spacing w:before="0" w:after="283"/>
              <w:jc w:val="left"/>
              <w:rPr>
                <w:sz w:val="4"/>
                <w:szCs w:val="4"/>
              </w:rPr>
            </w:pPr>
            <w:r>
              <w:rPr>
                <w:sz w:val="4"/>
                <w:szCs w:val="4"/>
              </w:rPr>
            </w:r>
          </w:p>
        </w:tc>
      </w:tr>
      <w:tr>
        <w:trPr/>
        <w:tc>
          <w:tcPr>
            <w:tcW w:w="1820" w:type="dxa"/>
            <w:tcBorders/>
            <w:vAlign w:val="center"/>
          </w:tcPr>
          <w:p>
            <w:pPr>
              <w:pStyle w:val="TableContents"/>
              <w:bidi w:val="0"/>
              <w:spacing w:before="0" w:after="283"/>
              <w:jc w:val="left"/>
              <w:rPr/>
            </w:pPr>
            <w:r>
              <w:rPr/>
              <w:t>Date: June 8,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Aoife Brennan</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center"/>
              <w:rPr>
                <w:b/>
              </w:rPr>
            </w:pPr>
            <w:r>
              <w:rPr>
                <w:b/>
              </w:rPr>
              <w:t>Aoife Brennan, M.B., Ch.B.</w:t>
            </w:r>
          </w:p>
        </w:tc>
      </w:tr>
      <w:tr>
        <w:trPr/>
        <w:tc>
          <w:tcPr>
            <w:tcW w:w="18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center"/>
              <w:rPr>
                <w:b/>
              </w:rPr>
            </w:pPr>
            <w:r>
              <w:rPr>
                <w:b/>
              </w:rPr>
              <w:t>President and Chief Executive Officer</w:t>
            </w:r>
          </w:p>
        </w:tc>
      </w:tr>
    </w:tbl>
    <w:p>
      <w:pPr>
        <w:pStyle w:val="TextBody"/>
        <w:bidi w:val="0"/>
        <w:spacing w:before="0" w:after="0"/>
        <w:jc w:val="right"/>
        <w:rPr>
          <w:rFonts w:ascii="Times New Roman" w:hAnsi="Times New Roman"/>
          <w:b/>
          <w:sz w:val="20"/>
        </w:rPr>
      </w:pPr>
      <w:bookmarkStart w:id="2" w:name="d72849dex991.htm"/>
      <w:bookmarkStart w:id="3" w:name="ksd72849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CLIMB BIO, INC. </w:t>
      </w:r>
    </w:p>
    <w:p>
      <w:pPr>
        <w:pStyle w:val="TextBody"/>
        <w:bidi w:val="0"/>
        <w:spacing w:before="120" w:after="0"/>
        <w:jc w:val="center"/>
        <w:rPr>
          <w:rFonts w:ascii="Times New Roman" w:hAnsi="Times New Roman"/>
          <w:b/>
          <w:sz w:val="20"/>
        </w:rPr>
      </w:pPr>
      <w:r>
        <w:rPr>
          <w:rFonts w:ascii="Times New Roman" w:hAnsi="Times New Roman"/>
          <w:b/>
          <w:sz w:val="20"/>
        </w:rPr>
        <w:t xml:space="preserve">2021 EQUITY INCENTIVE PLAN </w:t>
      </w:r>
    </w:p>
    <w:p>
      <w:pPr>
        <w:pStyle w:val="TextBody"/>
        <w:bidi w:val="0"/>
        <w:spacing w:before="120" w:after="0"/>
        <w:jc w:val="center"/>
        <w:rPr>
          <w:rFonts w:ascii="Times New Roman" w:hAnsi="Times New Roman"/>
          <w:b/>
          <w:sz w:val="20"/>
        </w:rPr>
      </w:pPr>
      <w:r>
        <w:rPr>
          <w:rFonts w:ascii="Times New Roman" w:hAnsi="Times New Roman"/>
          <w:b/>
          <w:sz w:val="20"/>
        </w:rPr>
        <w:t xml:space="preserve">ADOPTED BY THE COMPENSATION COMMITTEE OF THE </w:t>
      </w:r>
    </w:p>
    <w:p>
      <w:pPr>
        <w:pStyle w:val="TextBody"/>
        <w:bidi w:val="0"/>
        <w:spacing w:before="0" w:after="0"/>
        <w:jc w:val="center"/>
        <w:rPr>
          <w:rFonts w:ascii="Times New Roman" w:hAnsi="Times New Roman"/>
          <w:b/>
          <w:sz w:val="20"/>
        </w:rPr>
      </w:pPr>
      <w:r>
        <w:rPr>
          <w:rFonts w:ascii="Times New Roman" w:hAnsi="Times New Roman"/>
          <w:b/>
          <w:sz w:val="20"/>
        </w:rPr>
        <w:t xml:space="preserve">BOARD OF DIRECTORS: July 26, 2021 </w:t>
      </w:r>
    </w:p>
    <w:p>
      <w:pPr>
        <w:pStyle w:val="TextBody"/>
        <w:bidi w:val="0"/>
        <w:spacing w:before="120" w:after="0"/>
        <w:jc w:val="center"/>
        <w:rPr>
          <w:rFonts w:ascii="Times New Roman" w:hAnsi="Times New Roman"/>
          <w:b/>
          <w:sz w:val="20"/>
        </w:rPr>
      </w:pPr>
      <w:r>
        <w:rPr>
          <w:rFonts w:ascii="Times New Roman" w:hAnsi="Times New Roman"/>
          <w:b/>
          <w:sz w:val="20"/>
        </w:rPr>
        <w:t xml:space="preserve">APPROVED BY THE STOCKHOLDERS: July 29, 2021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GENERAL.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Successor to and Continuation of Prior Plan</w:t>
      </w:r>
      <w:r>
        <w:rPr>
          <w:rFonts w:ascii="Times New Roman" w:hAnsi="Times New Roman"/>
          <w:sz w:val="20"/>
        </w:rPr>
        <w:t xml:space="preserve">. The Plan is the successor to and continuation of the Prior Plan. As of the Effective Date, (i) no additional awards may be granted under the Prior Plan; (ii) any Returning Shares will become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Plan Purpose.</w:t>
      </w:r>
      <w:r>
        <w:rPr>
          <w:rFonts w:ascii="Times New Roman" w:hAnsi="Times New Roman"/>
          <w:sz w:val="20"/>
        </w:rPr>
        <w:t xml:space="preserve"> The Company, by means of the Plan, seeks to secure and retain the services of Employees, Directors and Consultants, to provide incentives for such persons to exert maximum efforts for the success of the Company and any Affiliate and to provide a means by which such persons may be given an opportunity to benefit from increases in value of the Common Stock through the granting of Awards.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Available Awards.</w:t>
      </w:r>
      <w:r>
        <w:rPr>
          <w:rFonts w:ascii="Times New Roman" w:hAnsi="Times New Roman"/>
          <w:sz w:val="20"/>
        </w:rPr>
        <w:t xml:space="preserve"> The Plan provides for the grant of the following Awards: (i) Incentive Stock Options; (ii) Nonstatutory Stock Options; (iii) SARs; (iv) Restricted Stock Awards; (v) RSU Awards; (vi) Performance Awards; and (vii) Other Awards.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 xml:space="preserve">Adoption Date; Effective Date. </w:t>
      </w:r>
      <w:r>
        <w:rPr>
          <w:rFonts w:ascii="Times New Roman" w:hAnsi="Times New Roman"/>
          <w:sz w:val="20"/>
        </w:rPr>
        <w:t xml:space="preserve">The Plan will come into existence on the Adoption Date, but no Award may be granted prior to the Effective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SHARES SUBJECT TO THE PLAN.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 xml:space="preserve">Share Reserve. </w:t>
      </w:r>
      <w:r>
        <w:rPr>
          <w:rFonts w:ascii="Times New Roman" w:hAnsi="Times New Roman"/>
          <w:sz w:val="20"/>
        </w:rPr>
        <w:t xml:space="preserve">Subject to adjustment in accordance with Section 2(c) and any adjustments as necessary to implement any Capitalization Adjustments, the aggregate number of shares of Common Stock that may be issued pursuant to Awards will not exceed 5,216,105 shares which is the sum of: (i) 2,558,790 new shares plus (ii) up to 2,657,315 Returning Shares, as such shares become available from time to time. In addition, subject to any adjustments as necessary to implement any Capitalization Adjustments, such aggregate number of shares of Common Stock will automatically increase on January 1st of each year for a period of five years commencing on January 1, 2022 and ending on (and including) January 1, 2026, in an amount equal to five percent (5%) of the total number of shares of Common Stock outstanding on December 31st of the preceding year and thereafter will automatically increase on January 1st of each year for a period of five years commencing on January 1, 2027 and ending on (and including) January 1, 2031, in an amount equal to five percent (5%) of the total number of shares of Common Stock plus the total number of shares of the Common Stock subject to pre-funded warrants (if any), in each case outstanding on December 31st of the preceding year; provided, however, the Board may act prior to January 1st of a given year to provide that the increase for such year will be a lesser number of shares of Common Stock.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Aggregate Incentive Stock Option Limit.</w:t>
      </w:r>
      <w:r>
        <w:rPr>
          <w:rFonts w:ascii="Times New Roman" w:hAnsi="Times New Roman"/>
          <w:sz w:val="20"/>
        </w:rPr>
        <w:t xml:space="preserve"> Notwithstanding anything to the contrary in Section 2(a) and subject to any adjustments as necessary to implement any Capitalization Adjustments, the aggregate maximum number of shares of Common Stock that may be issued pursuant to the exercise of Incentive Stock Options is 5,216,105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Share Reserve Operation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 xml:space="preserve">Limit Applies to Common Stock Issued Pursuant to Awards. </w:t>
      </w:r>
      <w:r>
        <w:rPr>
          <w:rFonts w:ascii="Times New Roman" w:hAnsi="Times New Roman"/>
          <w:sz w:val="20"/>
        </w:rPr>
        <w:t xml:space="preserve">For clarity, the Share Reserve is a limit on the 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Actions that Do Not Constitute Issuance of Common Stock and Do Not Reduce Share Reserve.</w:t>
      </w:r>
      <w:r>
        <w:rPr>
          <w:rFonts w:ascii="Times New Roman" w:hAnsi="Times New Roman"/>
          <w:sz w:val="20"/>
        </w:rPr>
        <w:t xml:space="preserve"> The following actions do not 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hAnsi="Times New Roman"/>
          <w:i/>
          <w:sz w:val="20"/>
        </w:rPr>
        <w:t>i.e.</w:t>
      </w:r>
      <w:r>
        <w:rPr>
          <w:rFonts w:ascii="Times New Roman" w:hAnsi="Times New Roman"/>
          <w:sz w:val="20"/>
        </w:rPr>
        <w:t xml:space="preserve">,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Reversion of Previously Issued Shares of Common Stock to Share Reserve.</w:t>
      </w:r>
      <w:r>
        <w:rPr>
          <w:rFonts w:ascii="Times New Roman" w:hAnsi="Times New Roman"/>
          <w:sz w:val="20"/>
        </w:rPr>
        <w:t xml:space="preserve"> The following shares of Common Stock 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3.</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ELIGIBILITY AND LIMITATIONS.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Eligible Award Recipients.</w:t>
      </w:r>
      <w:r>
        <w:rPr>
          <w:rFonts w:ascii="Times New Roman" w:hAnsi="Times New Roman"/>
          <w:sz w:val="20"/>
        </w:rPr>
        <w:t xml:space="preserve"> Subject to the terms of the Plan, Employees, Directors and Consultants are eligible to receive Awards.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Specific Award Limitations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Limitations on Incentive Stock Option Recipients.</w:t>
      </w:r>
      <w:r>
        <w:rPr>
          <w:rFonts w:ascii="Times New Roman" w:hAnsi="Times New Roman"/>
          <w:sz w:val="20"/>
        </w:rPr>
        <w:t xml:space="preserve"> Incentive Stock Options may be granted only to Employees of the Company or a “parent corporation” or “subsidiary corporation” thereof (as such terms are defined in Sections 424(e) and (f) of the Code).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Incentive Stock Option $100,000 Limitation.</w:t>
      </w:r>
      <w:r>
        <w:rPr>
          <w:rFonts w:ascii="Times New Roman" w:hAnsi="Times New Roman"/>
          <w:sz w:val="20"/>
        </w:rPr>
        <w:t xml:space="preserve"> To the extent that the aggregate Fair Market Value (determined 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Limitations on Incentive Stock Options Granted to Ten Percent Stockholders.</w:t>
      </w:r>
      <w:r>
        <w:rPr>
          <w:rFonts w:ascii="Times New Roman" w:hAnsi="Times New Roman"/>
          <w:sz w:val="20"/>
        </w:rPr>
        <w:t xml:space="preserve"> A Ten Percent Stockholder may not be granted an Incentive Stock Option unless (1) the exercise price of such Option is at least 110% of the Fair Market Value on the date of grant of such Option and (2) the Option is not exercisable after the expiration of five years from the date of grant of such Option.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w:t>
      </w:r>
      <w:r>
        <w:rPr>
          <w:rFonts w:ascii="Times New Roman" w:hAnsi="Times New Roman"/>
          <w:b/>
          <w:sz w:val="20"/>
        </w:rPr>
        <w:t>Limitations on Nonstatutory Stock Options and SARs.</w:t>
      </w:r>
      <w:r>
        <w:rPr>
          <w:rFonts w:ascii="Times New Roman" w:hAnsi="Times New Roman"/>
          <w:sz w:val="20"/>
        </w:rPr>
        <w:t xml:space="preserve"> Nonstatutory Stock Options and SARs may not be granted to Employees, Directors and Consultants unless the stock underlying such Awards is treated as “service recipient stock” under Section 409A or unless such Awards otherwise comply with the requirements of Section 409A.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Aggregate Incentive Stock Option Limit.</w:t>
      </w:r>
      <w:r>
        <w:rPr>
          <w:rFonts w:ascii="Times New Roman" w:hAnsi="Times New Roman"/>
          <w:sz w:val="20"/>
        </w:rPr>
        <w:t xml:space="preserve"> The aggregate maximum number of shares of Common Stock that may be issued pursuant to the exercise of Incentive Stock Options is the number of shares specified in Section 2(b).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 xml:space="preserve">Non-Employee Director Compensation Limit. </w:t>
      </w:r>
      <w:r>
        <w:rPr>
          <w:rFonts w:ascii="Times New Roman" w:hAnsi="Times New Roman"/>
          <w:sz w:val="20"/>
        </w:rPr>
        <w:t xml:space="preserve">The aggregate value of all compensation granted or paid, as applicable, to any individual for service as a Non-Employee Director with respect to any calendar year, including Awards granted and cash fees paid by the Company to such Non-Employee Director, will not exceed (1) $750,000 in total value or (2) in the event such Non-Employee Director is first appointed or elected to the Board during such calendar year, $1,000,000 in total value, in each case, calculating the value of any equity awards based on the grant date fair value of such equity awards for financial reporting purposes. The limitations in this Section 3(d) shall apply commencing with the first calendar year that begins following the Effective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OPTIONS AND STOCK APPRECIATION RIGHTS.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Term.</w:t>
      </w:r>
      <w:r>
        <w:rPr>
          <w:rFonts w:ascii="Times New Roman" w:hAnsi="Times New Roman"/>
          <w:sz w:val="20"/>
        </w:rPr>
        <w:t xml:space="preserve"> Subject to Section 3(b) regarding Ten Percent Stockholders, no Option or SAR will be exercisable after the expiration of ten years from the date of grant of such Award or such shorter period specified in the Award Agreement.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Exercise or Strike Price.</w:t>
      </w:r>
      <w:r>
        <w:rPr>
          <w:rFonts w:ascii="Times New Roman" w:hAnsi="Times New Roman"/>
          <w:sz w:val="20"/>
        </w:rPr>
        <w:t xml:space="preserve"> Subject to Section 3(b) regarding Ten Percent Stockholders, the exercise or strike price of each Option or 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Exercise Procedure and Payment of Exercise Price for Options.</w:t>
      </w:r>
      <w:r>
        <w:rPr>
          <w:rFonts w:ascii="Times New Roman" w:hAnsi="Times New Roman"/>
          <w:sz w:val="20"/>
        </w:rPr>
        <w:t xml:space="preserve"> In order to exercise an Option, the Participant must provide 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by cash or check, bank draft or money order payable to the Company;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in any other form of consideration that may be acceptable to the Board and permissible under Applicable Law.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Exercise Procedure and Payment of Appreciation Distribution for SARs.</w:t>
      </w:r>
      <w:r>
        <w:rPr>
          <w:rFonts w:ascii="Times New Roman" w:hAnsi="Times New Roman"/>
          <w:sz w:val="20"/>
        </w:rPr>
        <w:t xml:space="preserve"> In order to exercise any SAR, the Participant must provide notice of exercise to the Plan Administrator in accordance with the SAR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Transferability.</w:t>
      </w:r>
      <w:r>
        <w:rPr>
          <w:rFonts w:ascii="Times New Roman" w:hAnsi="Times New Roman"/>
          <w:sz w:val="20"/>
        </w:rPr>
        <w:t xml:space="preserve"> Options and SARs may not be transferred to third party financial institutions for value. The Board may impose 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hAnsi="Times New Roman"/>
          <w:i/>
          <w:sz w:val="20"/>
        </w:rPr>
        <w:t>provided, further</w:t>
      </w:r>
      <w:r>
        <w:rPr>
          <w:rFonts w:ascii="Times New Roman" w:hAnsi="Times New Roman"/>
          <w:sz w:val="20"/>
        </w:rPr>
        <w:t xml:space="preserve">, that if an Option is an Incentive Stock Option, such Option may be deemed to be a Nonstatutory Stock Option as a result of such transfer: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Restrictions on Transfer.</w:t>
      </w:r>
      <w:r>
        <w:rPr>
          <w:rFonts w:ascii="Times New Roman" w:hAnsi="Times New Roman"/>
          <w:sz w:val="20"/>
        </w:rPr>
        <w:t xml:space="preserve"> An Option or SAR will not be transferable, except by will or by the laws 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Domestic Relations Orders.</w:t>
      </w:r>
      <w:r>
        <w:rPr>
          <w:rFonts w:ascii="Times New Roman" w:hAnsi="Times New Roman"/>
          <w:sz w:val="20"/>
        </w:rPr>
        <w:t xml:space="preserve"> Notwithstanding the foregoing, subject to the execution of transfer documentation in a format acceptable to the Company and subject to the approval of the Board or a duly authorized Officer, an Option or SAR may be transferred pursuant to a domestic relations order.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Vesting.</w:t>
      </w:r>
      <w:r>
        <w:rPr>
          <w:rFonts w:ascii="Times New Roman" w:hAnsi="Times New Roman"/>
          <w:sz w:val="20"/>
        </w:rPr>
        <w:t xml:space="preserve"> The Board may impose such restrictions on or conditions to the vesting and/or exercisability of an Option or SAR as determined by the Board. Except as otherwise provided in the Award Agreement or other written agreement between a Participant and the Company or an Affiliate, vesting of Options and SARs will cease upon termination of the Participant’s Continuous Service.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Termination of Continuous Service for Cause.</w:t>
      </w:r>
      <w:r>
        <w:rPr>
          <w:rFonts w:ascii="Times New Roman" w:hAnsi="Times New Roman"/>
          <w:sz w:val="20"/>
        </w:rPr>
        <w:t xml:space="preserve"> Except as explicitly otherwise provided in the Award Agreement or other written 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Post-Termination Exercise Period Following Termination of Continuous Service for Reasons Other than Cause.</w:t>
      </w:r>
      <w:r>
        <w:rPr>
          <w:rFonts w:ascii="Times New Roman" w:hAnsi="Times New Roman"/>
          <w:sz w:val="20"/>
        </w:rPr>
        <w:t xml:space="preserve"> Subject to 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three months following the date of such termination if such termination is a termination without Cause (other than any termination due to the Participant’s Disability or death);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12 months following the date of such termination if such termination is due to the Participant’s Disability;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18 months following the date of such termination if such termination is due to the Participant’s death;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18 months following the date of the Participant’s death if such death occurs following the date of such termination but during the period such Award is otherwise exercisable (as provided in (i) or (ii) above). </w:t>
      </w:r>
    </w:p>
    <w:p>
      <w:pPr>
        <w:pStyle w:val="TextBody"/>
        <w:bidi w:val="0"/>
        <w:spacing w:before="240" w:after="0"/>
        <w:jc w:val="left"/>
        <w:rPr>
          <w:rFonts w:ascii="Times New Roman" w:hAnsi="Times New Roman"/>
          <w:sz w:val="20"/>
        </w:rPr>
      </w:pPr>
      <w:r>
        <w:rPr>
          <w:rFonts w:ascii="Times New Roman" w:hAnsi="Times New Roman"/>
          <w:sz w:val="20"/>
        </w:rPr>
        <w:t xml:space="preserve">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 xml:space="preserve">Restrictions on Exercise; Extension of Exercisability. </w:t>
      </w:r>
      <w:r>
        <w:rPr>
          <w:rFonts w:ascii="Times New Roman" w:hAnsi="Times New Roman"/>
          <w:sz w:val="20"/>
        </w:rPr>
        <w:t xml:space="preserve">A Participant may not exercise an Option or SAR at any time that the 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30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sz w:val="20"/>
        </w:rPr>
        <w:t>Non-Exempt Employees.</w:t>
      </w:r>
      <w:r>
        <w:rPr>
          <w:rFonts w:ascii="Times New Roman" w:hAnsi="Times New Roman"/>
          <w:sz w:val="20"/>
        </w:rPr>
        <w:t xml:space="preserve"> No Option or SAR, whether or not vested, granted to an Employee who is a non-exempt employee for 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sz w:val="20"/>
        </w:rPr>
        <w:t>Whole Shares.</w:t>
      </w:r>
      <w:r>
        <w:rPr>
          <w:rFonts w:ascii="Times New Roman" w:hAnsi="Times New Roman"/>
          <w:sz w:val="20"/>
        </w:rPr>
        <w:t xml:space="preserve"> Options and SARs may be exercised only with respect to whole shares of Common Stock or their equivalents.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5.</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AWARDS OTHER THAN OPTIONS AND STOCK APPRECIATION RIGHTS.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Restricted Stock Awards and RSU Awards.</w:t>
      </w:r>
      <w:r>
        <w:rPr>
          <w:rFonts w:ascii="Times New Roman" w:hAnsi="Times New Roman"/>
          <w:sz w:val="20"/>
        </w:rPr>
        <w:t xml:space="preserve"> Each Restricted Stock Award and RSU Award will have such terms and 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Form of Award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Restricted Stock Awards: To the extent consistent with the Company’s Bylaws, at the Board’s election, shares of 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 </w:t>
      </w:r>
    </w:p>
    <w:p>
      <w:pPr>
        <w:pStyle w:val="TextBody"/>
        <w:bidi w:val="0"/>
        <w:spacing w:before="240" w:after="0"/>
        <w:jc w:val="left"/>
        <w:rPr>
          <w:rFonts w:ascii="Times New Roman" w:hAnsi="Times New Roman"/>
          <w:sz w:val="20"/>
        </w:rPr>
      </w:pPr>
      <w:r>
        <w:rPr>
          <w:rFonts w:ascii="Times New Roman" w:hAnsi="Times New Roman"/>
          <w:sz w:val="20"/>
        </w:rPr>
        <w:t xml:space="preserve">(2) 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Restricted Stock Awards: A Restricted Stock Award may be granted in consideration for (A) cash or check, bank draft or money order payable to the Company, (B) services to the Company or an Affiliate, or (C) any other form of consideration as the Board may determine and permissible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(2) RSU Awards: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 xml:space="preserve">Vesting. </w:t>
      </w:r>
      <w:r>
        <w:rPr>
          <w:rFonts w:ascii="Times New Roman" w:hAnsi="Times New Roman"/>
          <w:sz w:val="20"/>
        </w:rPr>
        <w:t xml:space="preserve">The Board may impose such restrictions on or conditions to the vesting of a Restricted Stock Award or 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w:t>
      </w:r>
      <w:r>
        <w:rPr>
          <w:rFonts w:ascii="Times New Roman" w:hAnsi="Times New Roman"/>
          <w:b/>
          <w:sz w:val="20"/>
        </w:rPr>
        <w:t>Termination of Continuous Service.</w:t>
      </w:r>
      <w:r>
        <w:rPr>
          <w:rFonts w:ascii="Times New Roman" w:hAnsi="Times New Roman"/>
          <w:sz w:val="20"/>
        </w:rPr>
        <w:t xml:space="preserve"> Except as otherwise provided in the Award Agreement or other written agreement between a Participant and the Company or an Affiliate,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the Participant will have no further right, title or interest in the Restricted Stock Award, the shares of Common Stock subject to the Restricted Stock Award or any consideration in respect of the Restricted Stock Award and (2)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w:t>
      </w:r>
      <w:r>
        <w:rPr>
          <w:rFonts w:ascii="Times New Roman" w:hAnsi="Times New Roman"/>
          <w:b/>
          <w:sz w:val="20"/>
        </w:rPr>
        <w:t xml:space="preserve">Dividends and Dividend Equivalents. </w:t>
      </w:r>
      <w:r>
        <w:rPr>
          <w:rFonts w:ascii="Times New Roman" w:hAnsi="Times New Roman"/>
          <w:sz w:val="20"/>
        </w:rPr>
        <w:t xml:space="preserve">Dividends or dividend equivalents may be paid or credited, as applicable, with respect to any shares of Common Stock subject to a Restricted Stock Award or RSU Award, as determined by the Board and specified in the Award Agreement.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w:t>
      </w:r>
      <w:r>
        <w:rPr>
          <w:rFonts w:ascii="Times New Roman" w:hAnsi="Times New Roman"/>
          <w:b/>
          <w:sz w:val="20"/>
        </w:rPr>
        <w:t>Settlement of RSU Awards</w:t>
      </w:r>
      <w:r>
        <w:rPr>
          <w:rFonts w:ascii="Times New Roman" w:hAnsi="Times New Roman"/>
          <w:sz w:val="20"/>
        </w:rPr>
        <w:t xml:space="preserve">. An RSU Award may be settled by the issuance of shares of Common Stock or cash (or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Performance Awards</w:t>
      </w:r>
      <w:r>
        <w:rPr>
          <w:rFonts w:ascii="Times New Roman" w:hAnsi="Times New Roman"/>
          <w:sz w:val="20"/>
        </w:rPr>
        <w:t xml:space="preserve">. With respect to any Performance Award, the length of any Performance Period, the Performance Goals to be achieved during the Performance Period, the other terms and conditions of such Award and the measure of whether and to what degree such Performance Goals have been attained will be determined by the Board.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Other Awards</w:t>
      </w:r>
      <w:r>
        <w:rPr>
          <w:rFonts w:ascii="Times New Roman" w:hAnsi="Times New Roman"/>
          <w:sz w:val="20"/>
        </w:rPr>
        <w:t xml:space="preserve">. Other forms of Awards valued in whole or in part by reference to, or otherwise based on, Common Stock, including the appreciation in value thereof,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ADJUSTMENTS UPON CHANGES IN COMMON STOCK; OTHER CORPORATE EVENTS.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Capitalization Adjustments</w:t>
      </w:r>
      <w:r>
        <w:rPr>
          <w:rFonts w:ascii="Times New Roman" w:hAnsi="Times New Roman"/>
          <w:sz w:val="20"/>
        </w:rPr>
        <w:t xml:space="preserve">. In the event of a Capitalization Adjustment, the Board shall appropriately and proportionately adjust: (i) the class and maximum number of shares of Common Stock subject to the Plan and the maximum number of shares by which the Share Reserve may annually increase pursuant to Section 2(a); (ii) the class and maximum number of shares that may be issued pursuant to the exercise of Incentive Stock Options pursuant to Section 2(b); and (iii) the class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Dissolution or Liquidation.</w:t>
      </w:r>
      <w:r>
        <w:rPr>
          <w:rFonts w:ascii="Times New Roman" w:hAnsi="Times New Roman"/>
          <w:sz w:val="20"/>
        </w:rPr>
        <w:t xml:space="preserve"> Except as otherwise provided in the Award Agreement, in the event of a dissolution or liquidation 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Corporate Transaction. </w:t>
      </w:r>
      <w:r>
        <w:rPr>
          <w:rFonts w:ascii="Times New Roman" w:hAnsi="Times New Roman"/>
          <w:sz w:val="20"/>
        </w:rPr>
        <w:t xml:space="preserve">The following provisions will apply to Awards in the event of a Corporate Transaction, except as set forth in Section 11, unless otherwise provided in the instrument evidencing the Award or any other written agreement between the Company or any Affiliate and the Participant or unless otherwise expressly provided by the Board at the time of grant of an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Awards May Be Assumed.</w:t>
      </w:r>
      <w:r>
        <w:rPr>
          <w:rFonts w:ascii="Times New Roman" w:hAnsi="Times New Roman"/>
          <w:sz w:val="20"/>
        </w:rPr>
        <w:t xml:space="preserve"> In the event of a Corporate Transaction, any surviving corporation or acquiring 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Awards Held by Current Participants.</w:t>
      </w:r>
      <w:r>
        <w:rPr>
          <w:rFonts w:ascii="Times New Roman" w:hAnsi="Times New Roman"/>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hAnsi="Times New Roman"/>
          <w:b/>
          <w:i/>
          <w:sz w:val="20"/>
        </w:rPr>
        <w:t>Current Participants</w:t>
      </w:r>
      <w:r>
        <w:rPr>
          <w:rFonts w:ascii="Times New Roman" w:hAnsi="Times New Roman"/>
          <w:sz w:val="20"/>
        </w:rPr>
        <w:t xml:space="preserve">”),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in which the Awards are not assumed, continued or substituted in accordance with Section 6(c)(i).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sz w:val="20"/>
        </w:rPr>
        <w:t>Awards Held by Persons other than Current Participants.</w:t>
      </w:r>
      <w:r>
        <w:rPr>
          <w:rFonts w:ascii="Times New Roman" w:hAnsi="Times New Roman"/>
          <w:sz w:val="20"/>
        </w:rPr>
        <w:t xml:space="preserve"> In the event of a Corporate Transaction in which the 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w:t>
      </w:r>
      <w:r>
        <w:rPr>
          <w:rFonts w:ascii="Times New Roman" w:hAnsi="Times New Roman"/>
          <w:b/>
          <w:sz w:val="20"/>
        </w:rPr>
        <w:t>Payment for Awards in Lieu of Exercise.</w:t>
      </w:r>
      <w:r>
        <w:rPr>
          <w:rFonts w:ascii="Times New Roman" w:hAnsi="Times New Roman"/>
          <w:sz w:val="20"/>
        </w:rPr>
        <w:t xml:space="preserve"> Notwithstanding the foregoing, in the event an Award will terminate if 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Appointment of Stockholder Representative.</w:t>
      </w:r>
      <w:r>
        <w:rPr>
          <w:rFonts w:ascii="Times New Roman" w:hAnsi="Times New Roman"/>
          <w:sz w:val="20"/>
        </w:rPr>
        <w:t xml:space="preserve"> As a condition to the receipt of an Award under the Plan, a Participant will be 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No Restriction on Right to Undertake Transactions.</w:t>
      </w:r>
      <w:r>
        <w:rPr>
          <w:rFonts w:ascii="Times New Roman" w:hAnsi="Times New Roman"/>
          <w:sz w:val="20"/>
        </w:rPr>
        <w:t xml:space="preserve"> The grant of any Award under the Plan and the issuance of shares pursuant 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7.</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ADMINISTRATION.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Administration by Board.</w:t>
      </w:r>
      <w:r>
        <w:rPr>
          <w:rFonts w:ascii="Times New Roman" w:hAnsi="Times New Roman"/>
          <w:sz w:val="20"/>
        </w:rPr>
        <w:t xml:space="preserve"> The Board will administer the Plan unless and until the Board delegates administration of the Plan to a Committee or Committees, as provided in subsection (c) below.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Powers of Board.</w:t>
      </w:r>
      <w:r>
        <w:rPr>
          <w:rFonts w:ascii="Times New Roman" w:hAnsi="Times New Roman"/>
          <w:sz w:val="20"/>
        </w:rPr>
        <w:t xml:space="preserve"> The Board will have the power, subject to, and within the limitations of, the express provisions of the Plan: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To settle all controversies regarding the Plan and Awards granted under it.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To accelerate the time at which an Award may first be exercised or the time during which an Award or any part thereof will vest, notwithstanding the provisions in the Award Agreement stating the time at which it may first be exercised or the time during which it will vest.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 </w:t>
      </w:r>
    </w:p>
    <w:p>
      <w:pPr>
        <w:pStyle w:val="TextBody"/>
        <w:bidi w:val="0"/>
        <w:spacing w:before="240" w:after="0"/>
        <w:jc w:val="left"/>
        <w:rPr>
          <w:rFonts w:ascii="Times New Roman" w:hAnsi="Times New Roman"/>
          <w:sz w:val="20"/>
        </w:rPr>
      </w:pPr>
      <w:r>
        <w:rPr>
          <w:rFonts w:ascii="Times New Roman" w:hAnsi="Times New Roman"/>
          <w:b/>
          <w:sz w:val="20"/>
        </w:rPr>
        <w:t>(vi)</w:t>
      </w:r>
      <w:r>
        <w:rPr>
          <w:rFonts w:ascii="Times New Roman" w:hAnsi="Times New Roman"/>
          <w:sz w:val="20"/>
        </w:rPr>
        <w:t xml:space="preserve"> To suspend or terminate the Plan at any time. Suspension or termination of the Plan will not Materially Impair rights and obligations under any Award granted while the Plan is in effect except with the written consent of the affected Participant. </w:t>
      </w:r>
    </w:p>
    <w:p>
      <w:pPr>
        <w:pStyle w:val="TextBody"/>
        <w:bidi w:val="0"/>
        <w:spacing w:before="240" w:after="0"/>
        <w:jc w:val="left"/>
        <w:rPr>
          <w:rFonts w:ascii="Times New Roman" w:hAnsi="Times New Roman"/>
          <w:sz w:val="20"/>
        </w:rPr>
      </w:pPr>
      <w:r>
        <w:rPr>
          <w:rFonts w:ascii="Times New Roman" w:hAnsi="Times New Roman"/>
          <w:b/>
          <w:sz w:val="20"/>
        </w:rPr>
        <w:t>(vii)</w:t>
      </w:r>
      <w:r>
        <w:rPr>
          <w:rFonts w:ascii="Times New Roman" w:hAnsi="Times New Roman"/>
          <w:sz w:val="20"/>
        </w:rPr>
        <w:t xml:space="preserve"> To amend the Plan in any respect the Board deems necessary or advisable; provided, however</w:t>
      </w:r>
      <w:r>
        <w:rPr>
          <w:rFonts w:ascii="Times New Roman" w:hAnsi="Times New Roman"/>
          <w:i/>
          <w:sz w:val="20"/>
        </w:rPr>
        <w:t>,</w:t>
      </w:r>
      <w:r>
        <w:rPr>
          <w:rFonts w:ascii="Times New Roman" w:hAnsi="Times New Roman"/>
          <w:sz w:val="20"/>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 </w:t>
      </w:r>
    </w:p>
    <w:p>
      <w:pPr>
        <w:pStyle w:val="TextBody"/>
        <w:bidi w:val="0"/>
        <w:spacing w:before="240" w:after="0"/>
        <w:jc w:val="left"/>
        <w:rPr>
          <w:rFonts w:ascii="Times New Roman" w:hAnsi="Times New Roman"/>
          <w:sz w:val="20"/>
        </w:rPr>
      </w:pPr>
      <w:r>
        <w:rPr>
          <w:rFonts w:ascii="Times New Roman" w:hAnsi="Times New Roman"/>
          <w:b/>
          <w:sz w:val="20"/>
        </w:rPr>
        <w:t>(viii)</w:t>
      </w:r>
      <w:r>
        <w:rPr>
          <w:rFonts w:ascii="Times New Roman" w:hAnsi="Times New Roman"/>
          <w:sz w:val="20"/>
        </w:rPr>
        <w:t xml:space="preserve"> To submit any amendment to the Plan for stockholder approval. </w:t>
      </w:r>
    </w:p>
    <w:p>
      <w:pPr>
        <w:pStyle w:val="TextBody"/>
        <w:bidi w:val="0"/>
        <w:spacing w:before="240" w:after="0"/>
        <w:jc w:val="left"/>
        <w:rPr>
          <w:rFonts w:ascii="Times New Roman" w:hAnsi="Times New Roman"/>
          <w:sz w:val="20"/>
        </w:rPr>
      </w:pPr>
      <w:r>
        <w:rPr>
          <w:rFonts w:ascii="Times New Roman" w:hAnsi="Times New Roman"/>
          <w:b/>
          <w:sz w:val="20"/>
        </w:rPr>
        <w:t>(ix)</w:t>
      </w:r>
      <w:r>
        <w:rPr>
          <w:rFonts w:ascii="Times New Roman" w:hAnsi="Times New Roman"/>
          <w:sz w:val="20"/>
        </w:rPr>
        <w:t xml:space="preserve"> 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provided however, that, a Participant’s rights under any Award will not be Materially Impaired by any such amendment unless (1) the Company requests the consent of the affected Participant, and (2) such Participant consents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Generally, to exercise such powers and to perform such acts as the Board deems necessary or expedient to promote the best interests of the Company and that are not in conflict with the provisions of the Plan or Award Agreements. </w:t>
      </w:r>
    </w:p>
    <w:p>
      <w:pPr>
        <w:pStyle w:val="TextBody"/>
        <w:bidi w:val="0"/>
        <w:spacing w:before="240" w:after="0"/>
        <w:jc w:val="left"/>
        <w:rPr>
          <w:rFonts w:ascii="Times New Roman" w:hAnsi="Times New Roman"/>
          <w:sz w:val="20"/>
        </w:rPr>
      </w:pPr>
      <w:r>
        <w:rPr>
          <w:rFonts w:ascii="Times New Roman" w:hAnsi="Times New Roman"/>
          <w:b/>
          <w:sz w:val="20"/>
        </w:rPr>
        <w:t>(xi)</w:t>
      </w:r>
      <w:r>
        <w:rPr>
          <w:rFonts w:ascii="Times New Roman" w:hAnsi="Times New Roman"/>
          <w:sz w:val="20"/>
        </w:rPr>
        <w:t xml:space="preserve"> 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 </w:t>
      </w:r>
    </w:p>
    <w:p>
      <w:pPr>
        <w:pStyle w:val="TextBody"/>
        <w:bidi w:val="0"/>
        <w:spacing w:before="240" w:after="0"/>
        <w:jc w:val="left"/>
        <w:rPr>
          <w:rFonts w:ascii="Times New Roman" w:hAnsi="Times New Roman"/>
          <w:sz w:val="20"/>
        </w:rPr>
      </w:pPr>
      <w:r>
        <w:rPr>
          <w:rFonts w:ascii="Times New Roman" w:hAnsi="Times New Roman"/>
          <w:b/>
          <w:sz w:val="20"/>
        </w:rPr>
        <w:t>(xii)</w:t>
      </w:r>
      <w:r>
        <w:rPr>
          <w:rFonts w:ascii="Times New Roman" w:hAnsi="Times New Roman"/>
          <w:sz w:val="20"/>
        </w:rPr>
        <w:t xml:space="preserve"> 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Delegation to Committee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General.</w:t>
      </w:r>
      <w:r>
        <w:rPr>
          <w:rFonts w:ascii="Times New Roman" w:hAnsi="Times New Roman"/>
          <w:sz w:val="20"/>
        </w:rPr>
        <w:t xml:space="preserve"> The Board may delegate some or all of the administration of the Plan to a 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the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Rule 16b-3 Compliance.</w:t>
      </w:r>
      <w:r>
        <w:rPr>
          <w:rFonts w:ascii="Times New Roman" w:hAnsi="Times New Roman"/>
          <w:sz w:val="20"/>
        </w:rPr>
        <w:t xml:space="preserve"> 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Effect of Board’s Decision.</w:t>
      </w:r>
      <w:r>
        <w:rPr>
          <w:rFonts w:ascii="Times New Roman" w:hAnsi="Times New Roman"/>
          <w:sz w:val="20"/>
        </w:rPr>
        <w:t xml:space="preserve"> All determinations, interpretations and constructions made by the Board or any Committee in good faith will not be subject to review by any person and will be final, binding and conclusive on all persons.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Delegation to an Officer.</w:t>
      </w:r>
      <w:r>
        <w:rPr>
          <w:rFonts w:ascii="Times New Roman" w:hAnsi="Times New Roman"/>
          <w:sz w:val="20"/>
        </w:rPr>
        <w:t xml:space="preserve"> The Board or any Committee may delegate to one or more Officers the authority to do one or both of the following: (i) 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8.</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 WITHHOLDING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Withholding Authorization.</w:t>
      </w:r>
      <w:r>
        <w:rPr>
          <w:rFonts w:ascii="Times New Roman" w:hAnsi="Times New Roman"/>
          <w:sz w:val="20"/>
        </w:rPr>
        <w:t xml:space="preserve"> As a condition to acceptance of any Award under the Plan, a Participant authorizes withholding from payroll and 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Satisfaction of Withholding Obligation.</w:t>
      </w:r>
      <w:r>
        <w:rPr>
          <w:rFonts w:ascii="Times New Roman" w:hAnsi="Times New Roman"/>
          <w:sz w:val="20"/>
        </w:rPr>
        <w:t xml:space="preserve"> To the extent permitted by the terms of an Award Agreement, the Company may, in its sole 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 xml:space="preserve">No Obligation to Notify or Minimize Taxes; No Liability to Claims. </w:t>
      </w:r>
      <w:r>
        <w:rPr>
          <w:rFonts w:ascii="Times New Roman" w:hAnsi="Times New Roman"/>
          <w:sz w:val="20"/>
        </w:rPr>
        <w:t xml:space="preserve">Except as required by Applicable Law, the Company has no duty or obligation to any holder of an Award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 xml:space="preserve">Withholding Indemnification. </w:t>
      </w:r>
      <w:r>
        <w:rPr>
          <w:rFonts w:ascii="Times New Roman" w:hAnsi="Times New Roman"/>
          <w:sz w:val="20"/>
        </w:rPr>
        <w:t xml:space="preserve">As a condition to accepting an Award under the Plan, in the event that the amount of the 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9.</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MISCELLANEOUS.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Source of Shares.</w:t>
      </w:r>
      <w:r>
        <w:rPr>
          <w:rFonts w:ascii="Times New Roman" w:hAnsi="Times New Roman"/>
          <w:sz w:val="20"/>
        </w:rPr>
        <w:t xml:space="preserve"> The stock issuable under the Plan will be shares of authorized but unissued or reacquired Common Stock, including shares repurchased by the Company on the open market or otherwise.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 xml:space="preserve">Use of Proceeds from Sales of Common Stock. </w:t>
      </w:r>
      <w:r>
        <w:rPr>
          <w:rFonts w:ascii="Times New Roman" w:hAnsi="Times New Roman"/>
          <w:sz w:val="20"/>
        </w:rPr>
        <w:t xml:space="preserve">Proceeds from the sale of shares of Common Stock pursuant to Awards will constitute general funds of the Company.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Corporate Action Constituting Grant of Awards.</w:t>
      </w:r>
      <w:r>
        <w:rPr>
          <w:rFonts w:ascii="Times New Roman" w:hAnsi="Times New Roman"/>
          <w:sz w:val="20"/>
        </w:rPr>
        <w:t xml:space="preserve"> 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Stockholder Rights.</w:t>
      </w:r>
      <w:r>
        <w:rPr>
          <w:rFonts w:ascii="Times New Roman" w:hAnsi="Times New Roman"/>
          <w:sz w:val="20"/>
        </w:rPr>
        <w:t xml:space="preserve"> No Participant will be deemed to be the holder of, or to have any of the rights of a holder with respect to, 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No Employment or Other Service Rights.</w:t>
      </w:r>
      <w:r>
        <w:rPr>
          <w:rFonts w:ascii="Times New Roman" w:hAnsi="Times New Roman"/>
          <w:sz w:val="20"/>
        </w:rPr>
        <w:t xml:space="preserve"> 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Change in Time Commitment.</w:t>
      </w:r>
      <w:r>
        <w:rPr>
          <w:rFonts w:ascii="Times New Roman" w:hAnsi="Times New Roman"/>
          <w:sz w:val="20"/>
        </w:rPr>
        <w:t xml:space="preserve">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Execution of Additional Documents.</w:t>
      </w:r>
      <w:r>
        <w:rPr>
          <w:rFonts w:ascii="Times New Roman" w:hAnsi="Times New Roman"/>
          <w:sz w:val="20"/>
        </w:rPr>
        <w:t xml:space="preserve"> As a condition to accepting an Award under the Plan, the Participant agrees to execute 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Electronic Delivery and Participation.</w:t>
      </w:r>
      <w:r>
        <w:rPr>
          <w:rFonts w:ascii="Times New Roman" w:hAnsi="Times New Roman"/>
          <w:sz w:val="20"/>
        </w:rPr>
        <w:t xml:space="preserve"> Any reference herein or in an Award Agreement to a “written” agreement or document 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Clawback/Recovery.</w:t>
      </w:r>
      <w:r>
        <w:rPr>
          <w:rFonts w:ascii="Times New Roman" w:hAnsi="Times New Roman"/>
          <w:sz w:val="20"/>
        </w:rPr>
        <w:t xml:space="preserve"> All Awards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sz w:val="20"/>
        </w:rPr>
        <w:t xml:space="preserve">Securities Law Compliance. </w:t>
      </w:r>
      <w:r>
        <w:rPr>
          <w:rFonts w:ascii="Times New Roman" w:hAnsi="Times New Roman"/>
          <w:sz w:val="20"/>
        </w:rPr>
        <w:t xml:space="preserve">A Participant will not be issued any shares in respect of an Award unless either (i) the shares are 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sz w:val="20"/>
        </w:rPr>
        <w:t>Transfer or Assignment of Awards; Issued Shares.</w:t>
      </w:r>
      <w:r>
        <w:rPr>
          <w:rFonts w:ascii="Times New Roman" w:hAnsi="Times New Roman"/>
          <w:sz w:val="20"/>
        </w:rPr>
        <w:t xml:space="preserve"> Except as expressly provided in the Plan or the form of Award Agreement, 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sz w:val="20"/>
        </w:rPr>
        <w:t xml:space="preserve">Effect on Other Employee Benefit Plans. </w:t>
      </w:r>
      <w:r>
        <w:rPr>
          <w:rFonts w:ascii="Times New Roman" w:hAnsi="Times New Roman"/>
          <w:sz w:val="20"/>
        </w:rPr>
        <w:t xml:space="preserve">The value of any Award granted under the Plan, as determined upon grant, vesting 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xml:space="preserve"> </w:t>
      </w:r>
      <w:r>
        <w:rPr>
          <w:rFonts w:ascii="Times New Roman" w:hAnsi="Times New Roman"/>
          <w:b/>
          <w:sz w:val="20"/>
        </w:rPr>
        <w:t>Deferrals.</w:t>
      </w:r>
      <w:r>
        <w:rPr>
          <w:rFonts w:ascii="Times New Roman" w:hAnsi="Times New Roman"/>
          <w:sz w:val="20"/>
        </w:rPr>
        <w:t xml:space="preserve"> To the extent permitted by Applicable Law, the Board, in its sole discretion, may determine that the delivery of Common Stock or 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xml:space="preserve"> </w:t>
      </w:r>
      <w:r>
        <w:rPr>
          <w:rFonts w:ascii="Times New Roman" w:hAnsi="Times New Roman"/>
          <w:b/>
          <w:sz w:val="20"/>
        </w:rPr>
        <w:t xml:space="preserve">Section 409A. </w:t>
      </w:r>
      <w:r>
        <w:rPr>
          <w:rFonts w:ascii="Times New Roman" w:hAnsi="Times New Roman"/>
          <w:sz w:val="20"/>
        </w:rPr>
        <w:t xml:space="preserve">Unless otherwise expressly provided for in an Award Agreement, the Plan and Award Agreements will be 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xml:space="preserve"> </w:t>
      </w:r>
      <w:r>
        <w:rPr>
          <w:rFonts w:ascii="Times New Roman" w:hAnsi="Times New Roman"/>
          <w:b/>
          <w:sz w:val="20"/>
        </w:rPr>
        <w:t xml:space="preserve">CHOICE OF LAW. </w:t>
      </w:r>
      <w:r>
        <w:rPr>
          <w:rFonts w:ascii="Times New Roman" w:hAnsi="Times New Roman"/>
          <w:sz w:val="20"/>
        </w:rPr>
        <w:t xml:space="preserve">This Plan and any controversy arising out of or relating to this Plan shall be governed by, and construed in accordance with, the internal laws of the State of Delaware, without regard to conflict of law principles that would result in any application of any law other than the law of the State of Delaware.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COVENANTS OF THE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ADDITIONAL RULES FOR AWARDS SUBJECT TO SECTION 409A. </w:t>
            </w:r>
          </w:p>
        </w:tc>
      </w:tr>
    </w:tbl>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 xml:space="preserve">Application. </w:t>
      </w:r>
      <w:r>
        <w:rPr>
          <w:rFonts w:ascii="Times New Roman" w:hAnsi="Times New Roman"/>
          <w:sz w:val="20"/>
        </w:rPr>
        <w:t xml:space="preserve">Unless the provisions of this Section of the Plan are expressly superseded by the provisions in the form of Award Agreement, the provisions of this Section shall apply and shall supersede anything to the contrary set forth in the Award Agreement for a Non-Exempt Award.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Non-Exempt Awards Subject to Non-Exempt Severance Arrangements.</w:t>
      </w:r>
      <w:r>
        <w:rPr>
          <w:rFonts w:ascii="Times New Roman" w:hAnsi="Times New Roman"/>
          <w:sz w:val="20"/>
        </w:rPr>
        <w:t xml:space="preserve"> To the extent a Non-Exempt Award is subject to Section 409A due to application of a Non-Exempt Severance Arrangement, the following provisions of this subsection (b) apply.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31st of the calendar year that includes the applicable vesting date, or (ii) the 60th day that follows the applicable vesting date.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60th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Treatment of Non-Exempt Awards Upon a Corporate Transaction for Employees and Consultants.</w:t>
      </w:r>
      <w:r>
        <w:rPr>
          <w:rFonts w:ascii="Times New Roman" w:hAnsi="Times New Roman"/>
          <w:sz w:val="20"/>
        </w:rPr>
        <w:t xml:space="preserve"> The provisions of this subsection (c) 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Vested Non-Exempt Awards.</w:t>
      </w:r>
      <w:r>
        <w:rPr>
          <w:rFonts w:ascii="Times New Roman" w:hAnsi="Times New Roman"/>
          <w:sz w:val="20"/>
        </w:rPr>
        <w:t xml:space="preserve"> The following provisions shall apply to any Vested Non-Exempt Award in connection with a Corporate Transaction: </w:t>
      </w:r>
    </w:p>
    <w:p>
      <w:pPr>
        <w:pStyle w:val="TextBody"/>
        <w:bidi w:val="0"/>
        <w:spacing w:before="120" w:after="0"/>
        <w:jc w:val="left"/>
        <w:rPr>
          <w:rFonts w:ascii="Times New Roman" w:hAnsi="Times New Roman"/>
          <w:sz w:val="20"/>
        </w:rPr>
      </w:pPr>
      <w:r>
        <w:rPr>
          <w:rFonts w:ascii="Times New Roman" w:hAnsi="Times New Roman"/>
          <w:sz w:val="20"/>
        </w:rPr>
        <w:t xml:space="preserve">(1) 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(2) 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sz w:val="20"/>
        </w:rPr>
        <w:t>Unvested Non-Exempt Awards.</w:t>
      </w:r>
      <w:r>
        <w:rPr>
          <w:rFonts w:ascii="Times New Roman" w:hAnsi="Times New Roman"/>
          <w:sz w:val="20"/>
        </w:rPr>
        <w:t xml:space="preserve"> The following provisions shall apply to any Unvested Non-Exempt Award unless otherwise determined by the Board pursuant to subsection (e) of this Section: </w:t>
      </w:r>
    </w:p>
    <w:p>
      <w:pPr>
        <w:pStyle w:val="TextBody"/>
        <w:bidi w:val="0"/>
        <w:spacing w:before="120" w:after="0"/>
        <w:jc w:val="left"/>
        <w:rPr>
          <w:rFonts w:ascii="Times New Roman" w:hAnsi="Times New Roman"/>
          <w:sz w:val="20"/>
        </w:rPr>
      </w:pPr>
      <w:r>
        <w:rPr>
          <w:rFonts w:ascii="Times New Roman" w:hAnsi="Times New Roman"/>
          <w:sz w:val="20"/>
        </w:rPr>
        <w:t xml:space="preserve">(1) 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w:t>
      </w:r>
    </w:p>
    <w:p>
      <w:pPr>
        <w:pStyle w:val="TextBody"/>
        <w:bidi w:val="0"/>
        <w:spacing w:before="240" w:after="0"/>
        <w:jc w:val="left"/>
        <w:rPr>
          <w:rFonts w:ascii="Times New Roman" w:hAnsi="Times New Roman"/>
          <w:sz w:val="20"/>
        </w:rPr>
      </w:pPr>
      <w:r>
        <w:rPr>
          <w:rFonts w:ascii="Times New Roman" w:hAnsi="Times New Roman"/>
          <w:sz w:val="20"/>
        </w:rPr>
        <w:t xml:space="preserve">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 </w:t>
      </w:r>
    </w:p>
    <w:p>
      <w:pPr>
        <w:pStyle w:val="TextBody"/>
        <w:bidi w:val="0"/>
        <w:spacing w:before="240" w:after="0"/>
        <w:jc w:val="left"/>
        <w:rPr>
          <w:rFonts w:ascii="Times New Roman" w:hAnsi="Times New Roman"/>
          <w:sz w:val="20"/>
        </w:rPr>
      </w:pPr>
      <w:r>
        <w:rPr>
          <w:rFonts w:ascii="Times New Roman" w:hAnsi="Times New Roman"/>
          <w:sz w:val="20"/>
        </w:rPr>
        <w:t xml:space="preserve">(2) 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 </w:t>
      </w:r>
    </w:p>
    <w:p>
      <w:pPr>
        <w:pStyle w:val="TextBody"/>
        <w:bidi w:val="0"/>
        <w:spacing w:before="240" w:after="0"/>
        <w:jc w:val="left"/>
        <w:rPr>
          <w:rFonts w:ascii="Times New Roman" w:hAnsi="Times New Roman"/>
          <w:sz w:val="20"/>
        </w:rPr>
      </w:pPr>
      <w:r>
        <w:rPr>
          <w:rFonts w:ascii="Times New Roman" w:hAnsi="Times New Roman"/>
          <w:sz w:val="20"/>
        </w:rPr>
        <w:t xml:space="preserve">(3) The foregoing treatment shall apply with respect to all Unvested Non-Exempt Awards upon any Corporate Transaction, and regardless of whether or not such Corporate Transaction is also a Section 409A Change in Control.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Treatment of Non-Exempt Awards Upon a Corporate Transaction for Non-Employee Directors.</w:t>
      </w:r>
      <w:r>
        <w:rPr>
          <w:rFonts w:ascii="Times New Roman" w:hAnsi="Times New Roman"/>
          <w:sz w:val="20"/>
        </w:rPr>
        <w:t xml:space="preserve"> The following provisions of this subsection (d) shall apply and shall supersede anything to the contrary that may be set forth in the Plan with respect to the permitted treatment of a Non-Exempt Director Award in connection with a Corporate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If the RSU Award is a Non-Exempt Award, then the provisions in this Section 11(e) shall apply and supersede anything to the contrary that may be set forth in the Plan or the Award Agreement with respect to the permitted treatment of such Non-Exempt Award: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Company explicitly reserves the right to earlier settle any Non-Exempt Award to the extent permitted and in compliance with the requirements of Section 409A, including pursuant to any of the exemptions available in Treasury Regulations Section 1.409A-3(j)(4)(ix).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SEVERABILITY.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TERMINATION OF THE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Board may suspend or terminate the Plan at any time. No Incentive Stock Options may be granted after the tenth anniversary of the earlier of (i) the Adoption Date, or (ii) the date the Plan is approved by the Company’s stockholders. No Awards may be granted under the Plan while the Plan is suspended or after it is terminated.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used in the Plan, the following definitions apply to the capitalized terms indicated below: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i/>
          <w:sz w:val="20"/>
        </w:rPr>
        <w:t>Acquiring Entity</w:t>
      </w:r>
      <w:r>
        <w:rPr>
          <w:rFonts w:ascii="Times New Roman" w:hAnsi="Times New Roman"/>
          <w:sz w:val="20"/>
        </w:rPr>
        <w:t xml:space="preserve">” means the surviving or acquiring corporation (or its parent company) in connection with a Corporate Transaction.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i/>
          <w:sz w:val="20"/>
        </w:rPr>
        <w:t>Adoption Date</w:t>
      </w:r>
      <w:r>
        <w:rPr>
          <w:rFonts w:ascii="Times New Roman" w:hAnsi="Times New Roman"/>
          <w:sz w:val="20"/>
        </w:rPr>
        <w:t xml:space="preserve">” means the date the Plan is first approved by the Compensation Committee.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i/>
          <w:sz w:val="20"/>
        </w:rPr>
        <w:t>Affiliate</w:t>
      </w:r>
      <w:r>
        <w:rPr>
          <w:rFonts w:ascii="Times New Roman" w:hAnsi="Times New Roman"/>
          <w:sz w:val="20"/>
        </w:rPr>
        <w:t xml:space="preserve">” means, at the time of determination, any “parent” or “subsidiary” of the Company as such terms are defined in Rule 405 promulgated under the Securities Act. The Board may determine the time or times at which “parent” or “subsidiary” status is determined within the foregoing definition.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i/>
          <w:sz w:val="20"/>
        </w:rPr>
        <w:t>Applicable Law</w:t>
      </w:r>
      <w:r>
        <w:rPr>
          <w:rFonts w:ascii="Times New Roman" w:hAnsi="Times New Roman"/>
          <w:sz w:val="20"/>
        </w:rPr>
        <w:t xml:space="preserve">”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i/>
          <w:sz w:val="20"/>
        </w:rPr>
        <w:t>Award</w:t>
      </w:r>
      <w:r>
        <w:rPr>
          <w:rFonts w:ascii="Times New Roman" w:hAnsi="Times New Roman"/>
          <w:sz w:val="20"/>
        </w:rPr>
        <w:t xml:space="preserve">” means any right to receive Common Stock, cash or other property granted under the Plan (including an Incentive Stock Option, a Nonstatutory Stock Option, a Restricted Stock Award, an RSU Award, a SAR, a Performance Award or any Other Award).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i/>
          <w:sz w:val="20"/>
        </w:rPr>
        <w:t>Award Agreement</w:t>
      </w:r>
      <w:r>
        <w:rPr>
          <w:rFonts w:ascii="Times New Roman" w:hAnsi="Times New Roman"/>
          <w:sz w:val="20"/>
        </w:rPr>
        <w:t xml:space="preserve">”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i/>
          <w:sz w:val="20"/>
        </w:rPr>
        <w:t>Board</w:t>
      </w:r>
      <w:r>
        <w:rPr>
          <w:rFonts w:ascii="Times New Roman" w:hAnsi="Times New Roman"/>
          <w:sz w:val="20"/>
        </w:rPr>
        <w:t xml:space="preserve">”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i/>
          <w:sz w:val="20"/>
        </w:rPr>
        <w:t>Capitalization Adjustment</w:t>
      </w:r>
      <w:r>
        <w:rPr>
          <w:rFonts w:ascii="Times New Roman" w:hAnsi="Times New Roman"/>
          <w:sz w:val="20"/>
        </w:rPr>
        <w:t xml:space="preserve">” means any change that is made in, or other events that occur with respect to, the Common Stock subject to the Plan or subject to any Award after the date the Plan is adopted by the Compensation Committee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i/>
          <w:sz w:val="20"/>
        </w:rPr>
        <w:t>Cause</w:t>
      </w:r>
      <w:r>
        <w:rPr>
          <w:rFonts w:ascii="Times New Roman" w:hAnsi="Times New Roman"/>
          <w:sz w:val="20"/>
        </w:rPr>
        <w:t xml:space="preserve">” has the meaning ascribed to such term in any written agreement between a Participant and the Company defining such term and, in 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 (ii) the Participant’s commission of (A) a felony or (B) any misdemeanor involving moral turpitude, deceit, dishonesty or fraud; (iii) the Participant’s failure to perform the Participant’s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assigned duties and responsibilities to the reasonable satisfaction of the Company which failure continues, in the reasonable judgment of the Company, after written notice given to the Participant by the Company; (iv) the Participant’s gross negligence, willful misconduct or insubordination with respect to the Company or any Affiliate of the Company; or (v) the Participant’s material violation of any provision of any agreement(s) between the Participant and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i/>
          <w:sz w:val="20"/>
        </w:rPr>
        <w:t>Change in Control</w:t>
      </w:r>
      <w:r>
        <w:rPr>
          <w:rFonts w:ascii="Times New Roman" w:hAnsi="Times New Roman"/>
          <w:sz w:val="20"/>
        </w:rPr>
        <w:t>” or “</w:t>
      </w:r>
      <w:r>
        <w:rPr>
          <w:rFonts w:ascii="Times New Roman" w:hAnsi="Times New Roman"/>
          <w:b/>
          <w:i/>
          <w:sz w:val="20"/>
        </w:rPr>
        <w:t>Change of Control</w:t>
      </w:r>
      <w:r>
        <w:rPr>
          <w:rFonts w:ascii="Times New Roman" w:hAnsi="Times New Roman"/>
          <w:sz w:val="20"/>
        </w:rPr>
        <w:t xml:space="preserve">” means the occurrence, in a single transaction or in a series of related transactions, of any one or more of the following events: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hAnsi="Times New Roman"/>
          <w:i/>
          <w:sz w:val="20"/>
        </w:rPr>
        <w:t>Subject Person</w:t>
      </w:r>
      <w:r>
        <w:rPr>
          <w:rFonts w:ascii="Times New Roman" w:hAnsi="Times New Roman"/>
          <w:sz w:val="20"/>
        </w:rPr>
        <w:t xml:space="preserve">”)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individuals who, on the date the Plan is adopted by the Compensation Committee, are members of the Board (the “</w:t>
      </w:r>
      <w:r>
        <w:rPr>
          <w:rFonts w:ascii="Times New Roman" w:hAnsi="Times New Roman"/>
          <w:b/>
          <w:i/>
          <w:sz w:val="20"/>
        </w:rPr>
        <w:t>Incumbent Board</w:t>
      </w:r>
      <w:r>
        <w:rPr>
          <w:rFonts w:ascii="Times New Roman" w:hAnsi="Times New Roman"/>
          <w:sz w:val="20"/>
        </w:rPr>
        <w:t xml:space="preserve">”)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i/>
          <w:sz w:val="20"/>
        </w:rPr>
        <w:t>Code</w:t>
      </w:r>
      <w:r>
        <w:rPr>
          <w:rFonts w:ascii="Times New Roman" w:hAnsi="Times New Roman"/>
          <w:sz w:val="20"/>
        </w:rPr>
        <w:t xml:space="preserve">” means the Internal Revenue Code of 1986, as amended, including any applicable regulations and guidance thereunder.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i/>
          <w:sz w:val="20"/>
        </w:rPr>
        <w:t>Committee</w:t>
      </w:r>
      <w:r>
        <w:rPr>
          <w:rFonts w:ascii="Times New Roman" w:hAnsi="Times New Roman"/>
          <w:sz w:val="20"/>
        </w:rPr>
        <w:t xml:space="preserve">” means the Compensation Committee and any other committee of one or more Directors to whom authority has been delegated by the Board or Compensation Committee in accordance with the Plan.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xml:space="preserve"> “</w:t>
      </w:r>
      <w:r>
        <w:rPr>
          <w:rFonts w:ascii="Times New Roman" w:hAnsi="Times New Roman"/>
          <w:b/>
          <w:i/>
          <w:sz w:val="20"/>
        </w:rPr>
        <w:t>Common Stock</w:t>
      </w:r>
      <w:r>
        <w:rPr>
          <w:rFonts w:ascii="Times New Roman" w:hAnsi="Times New Roman"/>
          <w:sz w:val="20"/>
        </w:rPr>
        <w:t xml:space="preserve">” means the common stock of the Company. </w:t>
      </w:r>
    </w:p>
    <w:p>
      <w:pPr>
        <w:pStyle w:val="TextBody"/>
        <w:bidi w:val="0"/>
        <w:spacing w:before="240" w:after="0"/>
        <w:jc w:val="left"/>
        <w:rPr>
          <w:rFonts w:ascii="Times New Roman" w:hAnsi="Times New Roman"/>
          <w:sz w:val="20"/>
        </w:rPr>
      </w:pPr>
      <w:r>
        <w:rPr>
          <w:rFonts w:ascii="Times New Roman" w:hAnsi="Times New Roman"/>
          <w:b/>
          <w:sz w:val="20"/>
        </w:rPr>
        <w:t>(n)</w:t>
      </w:r>
      <w:r>
        <w:rPr>
          <w:rFonts w:ascii="Times New Roman" w:hAnsi="Times New Roman"/>
          <w:sz w:val="20"/>
        </w:rPr>
        <w:t xml:space="preserve"> “</w:t>
      </w:r>
      <w:r>
        <w:rPr>
          <w:rFonts w:ascii="Times New Roman" w:hAnsi="Times New Roman"/>
          <w:b/>
          <w:i/>
          <w:sz w:val="20"/>
        </w:rPr>
        <w:t>Company</w:t>
      </w:r>
      <w:r>
        <w:rPr>
          <w:rFonts w:ascii="Times New Roman" w:hAnsi="Times New Roman"/>
          <w:sz w:val="20"/>
        </w:rPr>
        <w:t xml:space="preserve">” means Climb Bio, Inc. (formerly known as Eliem Therapeutics, Inc.), a Delaware corporation. </w:t>
      </w:r>
    </w:p>
    <w:p>
      <w:pPr>
        <w:pStyle w:val="TextBody"/>
        <w:bidi w:val="0"/>
        <w:spacing w:before="240" w:after="0"/>
        <w:jc w:val="left"/>
        <w:rPr>
          <w:rFonts w:ascii="Times New Roman" w:hAnsi="Times New Roman"/>
          <w:sz w:val="20"/>
        </w:rPr>
      </w:pPr>
      <w:r>
        <w:rPr>
          <w:rFonts w:ascii="Times New Roman" w:hAnsi="Times New Roman"/>
          <w:b/>
          <w:sz w:val="20"/>
        </w:rPr>
        <w:t>(o)</w:t>
      </w:r>
      <w:r>
        <w:rPr>
          <w:rFonts w:ascii="Times New Roman" w:hAnsi="Times New Roman"/>
          <w:sz w:val="20"/>
        </w:rPr>
        <w:t xml:space="preserve"> “</w:t>
      </w:r>
      <w:r>
        <w:rPr>
          <w:rFonts w:ascii="Times New Roman" w:hAnsi="Times New Roman"/>
          <w:b/>
          <w:i/>
          <w:sz w:val="20"/>
        </w:rPr>
        <w:t>Compensation Committee</w:t>
      </w:r>
      <w:r>
        <w:rPr>
          <w:rFonts w:ascii="Times New Roman" w:hAnsi="Times New Roman"/>
          <w:sz w:val="20"/>
        </w:rPr>
        <w:t xml:space="preserve">” means the Compensation Committee of the Board. </w:t>
      </w:r>
    </w:p>
    <w:p>
      <w:pPr>
        <w:pStyle w:val="TextBody"/>
        <w:bidi w:val="0"/>
        <w:spacing w:before="240" w:after="0"/>
        <w:jc w:val="left"/>
        <w:rPr>
          <w:rFonts w:ascii="Times New Roman" w:hAnsi="Times New Roman"/>
          <w:sz w:val="20"/>
        </w:rPr>
      </w:pPr>
      <w:r>
        <w:rPr>
          <w:rFonts w:ascii="Times New Roman" w:hAnsi="Times New Roman"/>
          <w:b/>
          <w:sz w:val="20"/>
        </w:rPr>
        <w:t>(p)</w:t>
      </w:r>
      <w:r>
        <w:rPr>
          <w:rFonts w:ascii="Times New Roman" w:hAnsi="Times New Roman"/>
          <w:sz w:val="20"/>
        </w:rPr>
        <w:t xml:space="preserve"> “</w:t>
      </w:r>
      <w:r>
        <w:rPr>
          <w:rFonts w:ascii="Times New Roman" w:hAnsi="Times New Roman"/>
          <w:b/>
          <w:i/>
          <w:sz w:val="20"/>
        </w:rPr>
        <w:t>Consultant</w:t>
      </w:r>
      <w:r>
        <w:rPr>
          <w:rFonts w:ascii="Times New Roman" w:hAnsi="Times New Roman"/>
          <w:sz w:val="20"/>
        </w:rPr>
        <w:t xml:space="preserve">”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 </w:t>
      </w:r>
    </w:p>
    <w:p>
      <w:pPr>
        <w:pStyle w:val="TextBody"/>
        <w:bidi w:val="0"/>
        <w:spacing w:before="240" w:after="0"/>
        <w:jc w:val="left"/>
        <w:rPr>
          <w:rFonts w:ascii="Times New Roman" w:hAnsi="Times New Roman"/>
          <w:sz w:val="20"/>
        </w:rPr>
      </w:pPr>
      <w:r>
        <w:rPr>
          <w:rFonts w:ascii="Times New Roman" w:hAnsi="Times New Roman"/>
          <w:b/>
          <w:sz w:val="20"/>
        </w:rPr>
        <w:t>(q)</w:t>
      </w:r>
      <w:r>
        <w:rPr>
          <w:rFonts w:ascii="Times New Roman" w:hAnsi="Times New Roman"/>
          <w:sz w:val="20"/>
        </w:rPr>
        <w:t xml:space="preserve"> “</w:t>
      </w:r>
      <w:r>
        <w:rPr>
          <w:rFonts w:ascii="Times New Roman" w:hAnsi="Times New Roman"/>
          <w:b/>
          <w:i/>
          <w:sz w:val="20"/>
        </w:rPr>
        <w:t>Continuous Service</w:t>
      </w:r>
      <w:r>
        <w:rPr>
          <w:rFonts w:ascii="Times New Roman" w:hAnsi="Times New Roman"/>
          <w:sz w:val="20"/>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hAnsi="Times New Roman"/>
          <w:i/>
          <w:sz w:val="20"/>
        </w:rPr>
        <w:t>,</w:t>
      </w:r>
      <w:r>
        <w:rPr>
          <w:rFonts w:ascii="Times New Roman" w:hAnsi="Times New Roman"/>
          <w:sz w:val="20"/>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(r)</w:t>
      </w:r>
      <w:r>
        <w:rPr>
          <w:rFonts w:ascii="Times New Roman" w:hAnsi="Times New Roman"/>
          <w:sz w:val="20"/>
        </w:rPr>
        <w:t xml:space="preserve"> “</w:t>
      </w:r>
      <w:r>
        <w:rPr>
          <w:rFonts w:ascii="Times New Roman" w:hAnsi="Times New Roman"/>
          <w:b/>
          <w:i/>
          <w:sz w:val="20"/>
        </w:rPr>
        <w:t>Corporate Transaction</w:t>
      </w:r>
      <w:r>
        <w:rPr>
          <w:rFonts w:ascii="Times New Roman" w:hAnsi="Times New Roman"/>
          <w:sz w:val="20"/>
        </w:rPr>
        <w:t xml:space="preserve">” means the consummation, in a single transaction or in a series of related transactions, of any one or more of the following events: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 sale or other disposition of all or substantially all, as determined by the Board, of the consolidated assets of the Company and its Subsidiaries;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a sale or other disposition of at least 50% of the outstanding securities of the Company;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 merger, consolidation or similar transaction following which the Company is not the surviving corporation; or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w:t>
      </w:r>
    </w:p>
    <w:p>
      <w:pPr>
        <w:pStyle w:val="TextBody"/>
        <w:bidi w:val="0"/>
        <w:spacing w:before="240" w:after="0"/>
        <w:jc w:val="left"/>
        <w:rPr>
          <w:rFonts w:ascii="Times New Roman" w:hAnsi="Times New Roman"/>
          <w:sz w:val="20"/>
        </w:rPr>
      </w:pPr>
      <w:r>
        <w:rPr>
          <w:rFonts w:ascii="Times New Roman" w:hAnsi="Times New Roman"/>
          <w:b/>
          <w:sz w:val="20"/>
        </w:rPr>
        <w:t>(s)</w:t>
      </w:r>
      <w:r>
        <w:rPr>
          <w:rFonts w:ascii="Times New Roman" w:hAnsi="Times New Roman"/>
          <w:sz w:val="20"/>
        </w:rPr>
        <w:t xml:space="preserve"> “</w:t>
      </w:r>
      <w:r>
        <w:rPr>
          <w:rFonts w:ascii="Times New Roman" w:hAnsi="Times New Roman"/>
          <w:b/>
          <w:i/>
          <w:sz w:val="20"/>
        </w:rPr>
        <w:t>Director</w:t>
      </w:r>
      <w:r>
        <w:rPr>
          <w:rFonts w:ascii="Times New Roman" w:hAnsi="Times New Roman"/>
          <w:sz w:val="20"/>
        </w:rPr>
        <w:t xml:space="preserve">” means a member of the Board. </w:t>
      </w:r>
    </w:p>
    <w:p>
      <w:pPr>
        <w:pStyle w:val="TextBody"/>
        <w:bidi w:val="0"/>
        <w:spacing w:before="240" w:after="0"/>
        <w:jc w:val="left"/>
        <w:rPr>
          <w:rFonts w:ascii="Times New Roman" w:hAnsi="Times New Roman"/>
          <w:sz w:val="20"/>
        </w:rPr>
      </w:pPr>
      <w:r>
        <w:rPr>
          <w:rFonts w:ascii="Times New Roman" w:hAnsi="Times New Roman"/>
          <w:b/>
          <w:sz w:val="20"/>
        </w:rPr>
        <w:t>(t)</w:t>
      </w:r>
      <w:r>
        <w:rPr>
          <w:rFonts w:ascii="Times New Roman" w:hAnsi="Times New Roman"/>
          <w:sz w:val="20"/>
        </w:rPr>
        <w:t xml:space="preserve"> “</w:t>
      </w:r>
      <w:r>
        <w:rPr>
          <w:rFonts w:ascii="Times New Roman" w:hAnsi="Times New Roman"/>
          <w:b/>
          <w:i/>
          <w:sz w:val="20"/>
        </w:rPr>
        <w:t>determine</w:t>
      </w:r>
      <w:r>
        <w:rPr>
          <w:rFonts w:ascii="Times New Roman" w:hAnsi="Times New Roman"/>
          <w:sz w:val="20"/>
        </w:rPr>
        <w:t>” or “</w:t>
      </w:r>
      <w:r>
        <w:rPr>
          <w:rFonts w:ascii="Times New Roman" w:hAnsi="Times New Roman"/>
          <w:b/>
          <w:i/>
          <w:sz w:val="20"/>
        </w:rPr>
        <w:t>determined</w:t>
      </w:r>
      <w:r>
        <w:rPr>
          <w:rFonts w:ascii="Times New Roman" w:hAnsi="Times New Roman"/>
          <w:sz w:val="20"/>
        </w:rPr>
        <w:t xml:space="preserve">” means as determined by the Board or the Committee (or its designee) in its sole discretion. </w:t>
      </w:r>
    </w:p>
    <w:p>
      <w:pPr>
        <w:pStyle w:val="TextBody"/>
        <w:bidi w:val="0"/>
        <w:spacing w:before="240" w:after="0"/>
        <w:jc w:val="left"/>
        <w:rPr>
          <w:rFonts w:ascii="Times New Roman" w:hAnsi="Times New Roman"/>
          <w:sz w:val="20"/>
        </w:rPr>
      </w:pPr>
      <w:r>
        <w:rPr>
          <w:rFonts w:ascii="Times New Roman" w:hAnsi="Times New Roman"/>
          <w:b/>
          <w:sz w:val="20"/>
        </w:rPr>
        <w:t>(u)</w:t>
      </w:r>
      <w:r>
        <w:rPr>
          <w:rFonts w:ascii="Times New Roman" w:hAnsi="Times New Roman"/>
          <w:sz w:val="20"/>
        </w:rPr>
        <w:t xml:space="preserve"> “</w:t>
      </w:r>
      <w:r>
        <w:rPr>
          <w:rFonts w:ascii="Times New Roman" w:hAnsi="Times New Roman"/>
          <w:b/>
          <w:i/>
          <w:sz w:val="20"/>
        </w:rPr>
        <w:t>Disability</w:t>
      </w:r>
      <w:r>
        <w:rPr>
          <w:rFonts w:ascii="Times New Roman" w:hAnsi="Times New Roman"/>
          <w:sz w:val="20"/>
        </w:rPr>
        <w:t xml:space="preserve">”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 </w:t>
      </w:r>
    </w:p>
    <w:p>
      <w:pPr>
        <w:pStyle w:val="TextBody"/>
        <w:bidi w:val="0"/>
        <w:spacing w:before="240" w:after="0"/>
        <w:jc w:val="left"/>
        <w:rPr>
          <w:rFonts w:ascii="Times New Roman" w:hAnsi="Times New Roman"/>
          <w:sz w:val="20"/>
        </w:rPr>
      </w:pPr>
      <w:r>
        <w:rPr>
          <w:rFonts w:ascii="Times New Roman" w:hAnsi="Times New Roman"/>
          <w:b/>
          <w:sz w:val="20"/>
        </w:rPr>
        <w:t>(v)</w:t>
      </w:r>
      <w:r>
        <w:rPr>
          <w:rFonts w:ascii="Times New Roman" w:hAnsi="Times New Roman"/>
          <w:sz w:val="20"/>
        </w:rPr>
        <w:t xml:space="preserve"> “</w:t>
      </w:r>
      <w:r>
        <w:rPr>
          <w:rFonts w:ascii="Times New Roman" w:hAnsi="Times New Roman"/>
          <w:b/>
          <w:i/>
          <w:sz w:val="20"/>
        </w:rPr>
        <w:t>Effective Date</w:t>
      </w:r>
      <w:r>
        <w:rPr>
          <w:rFonts w:ascii="Times New Roman" w:hAnsi="Times New Roman"/>
          <w:sz w:val="20"/>
        </w:rPr>
        <w:t xml:space="preserve">” means immediately prior to the IPO Date, provided that this Plan is approved by the Company’s stockholders prior to the IPO Date. </w:t>
      </w:r>
    </w:p>
    <w:p>
      <w:pPr>
        <w:pStyle w:val="TextBody"/>
        <w:bidi w:val="0"/>
        <w:spacing w:before="240" w:after="0"/>
        <w:jc w:val="left"/>
        <w:rPr>
          <w:rFonts w:ascii="Times New Roman" w:hAnsi="Times New Roman"/>
          <w:sz w:val="20"/>
        </w:rPr>
      </w:pPr>
      <w:r>
        <w:rPr>
          <w:rFonts w:ascii="Times New Roman" w:hAnsi="Times New Roman"/>
          <w:b/>
          <w:sz w:val="20"/>
        </w:rPr>
        <w:t>(w)</w:t>
      </w:r>
      <w:r>
        <w:rPr>
          <w:rFonts w:ascii="Times New Roman" w:hAnsi="Times New Roman"/>
          <w:sz w:val="20"/>
        </w:rPr>
        <w:t xml:space="preserve"> “</w:t>
      </w:r>
      <w:r>
        <w:rPr>
          <w:rFonts w:ascii="Times New Roman" w:hAnsi="Times New Roman"/>
          <w:b/>
          <w:i/>
          <w:sz w:val="20"/>
        </w:rPr>
        <w:t>Employee</w:t>
      </w:r>
      <w:r>
        <w:rPr>
          <w:rFonts w:ascii="Times New Roman" w:hAnsi="Times New Roman"/>
          <w:sz w:val="20"/>
        </w:rPr>
        <w:t xml:space="preserve">” means any person employed by the Company or an Affiliate. However, service solely as a Director, or payment of a fee for such services, will not cause a Director to be considered an “Employee” for purposes of the Plan. </w:t>
      </w:r>
    </w:p>
    <w:p>
      <w:pPr>
        <w:pStyle w:val="TextBody"/>
        <w:bidi w:val="0"/>
        <w:spacing w:before="240" w:after="0"/>
        <w:jc w:val="left"/>
        <w:rPr>
          <w:rFonts w:ascii="Times New Roman" w:hAnsi="Times New Roman"/>
          <w:sz w:val="20"/>
        </w:rPr>
      </w:pPr>
      <w:r>
        <w:rPr>
          <w:rFonts w:ascii="Times New Roman" w:hAnsi="Times New Roman"/>
          <w:b/>
          <w:sz w:val="20"/>
        </w:rPr>
        <w:t>(x)</w:t>
      </w:r>
      <w:r>
        <w:rPr>
          <w:rFonts w:ascii="Times New Roman" w:hAnsi="Times New Roman"/>
          <w:sz w:val="20"/>
        </w:rPr>
        <w:t xml:space="preserve"> “</w:t>
      </w:r>
      <w:r>
        <w:rPr>
          <w:rFonts w:ascii="Times New Roman" w:hAnsi="Times New Roman"/>
          <w:b/>
          <w:i/>
          <w:sz w:val="20"/>
        </w:rPr>
        <w:t>Employer</w:t>
      </w:r>
      <w:r>
        <w:rPr>
          <w:rFonts w:ascii="Times New Roman" w:hAnsi="Times New Roman"/>
          <w:sz w:val="20"/>
        </w:rPr>
        <w:t xml:space="preserve">” means the Company or the Affiliate of the Company that employs the Participant. </w:t>
      </w:r>
    </w:p>
    <w:p>
      <w:pPr>
        <w:pStyle w:val="TextBody"/>
        <w:bidi w:val="0"/>
        <w:spacing w:before="240" w:after="0"/>
        <w:jc w:val="left"/>
        <w:rPr>
          <w:rFonts w:ascii="Times New Roman" w:hAnsi="Times New Roman"/>
          <w:sz w:val="20"/>
        </w:rPr>
      </w:pPr>
      <w:r>
        <w:rPr>
          <w:rFonts w:ascii="Times New Roman" w:hAnsi="Times New Roman"/>
          <w:b/>
          <w:sz w:val="20"/>
        </w:rPr>
        <w:t>(y)</w:t>
      </w:r>
      <w:r>
        <w:rPr>
          <w:rFonts w:ascii="Times New Roman" w:hAnsi="Times New Roman"/>
          <w:sz w:val="20"/>
        </w:rPr>
        <w:t xml:space="preserve"> “</w:t>
      </w:r>
      <w:r>
        <w:rPr>
          <w:rFonts w:ascii="Times New Roman" w:hAnsi="Times New Roman"/>
          <w:b/>
          <w:i/>
          <w:sz w:val="20"/>
        </w:rPr>
        <w:t>Entity</w:t>
      </w:r>
      <w:r>
        <w:rPr>
          <w:rFonts w:ascii="Times New Roman" w:hAnsi="Times New Roman"/>
          <w:sz w:val="20"/>
        </w:rPr>
        <w:t xml:space="preserve">” means a corporation, partnership, limited liability company or other entity. </w:t>
      </w:r>
    </w:p>
    <w:p>
      <w:pPr>
        <w:pStyle w:val="TextBody"/>
        <w:bidi w:val="0"/>
        <w:spacing w:before="240" w:after="0"/>
        <w:jc w:val="left"/>
        <w:rPr>
          <w:rFonts w:ascii="Times New Roman" w:hAnsi="Times New Roman"/>
          <w:sz w:val="20"/>
        </w:rPr>
      </w:pPr>
      <w:r>
        <w:rPr>
          <w:rFonts w:ascii="Times New Roman" w:hAnsi="Times New Roman"/>
          <w:b/>
          <w:sz w:val="20"/>
        </w:rPr>
        <w:t>(z)</w:t>
      </w:r>
      <w:r>
        <w:rPr>
          <w:rFonts w:ascii="Times New Roman" w:hAnsi="Times New Roman"/>
          <w:sz w:val="20"/>
        </w:rPr>
        <w:t xml:space="preserve"> “</w:t>
      </w:r>
      <w:r>
        <w:rPr>
          <w:rFonts w:ascii="Times New Roman" w:hAnsi="Times New Roman"/>
          <w:b/>
          <w:i/>
          <w:sz w:val="20"/>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b/>
          <w:sz w:val="20"/>
        </w:rPr>
        <w:t>(aa)</w:t>
      </w:r>
      <w:r>
        <w:rPr>
          <w:rFonts w:ascii="Times New Roman" w:hAnsi="Times New Roman"/>
          <w:sz w:val="20"/>
        </w:rPr>
        <w:t xml:space="preserve"> “</w:t>
      </w:r>
      <w:r>
        <w:rPr>
          <w:rFonts w:ascii="Times New Roman" w:hAnsi="Times New Roman"/>
          <w:b/>
          <w:i/>
          <w:sz w:val="20"/>
        </w:rPr>
        <w:t>Exchange Act Person</w:t>
      </w:r>
      <w:r>
        <w:rPr>
          <w:rFonts w:ascii="Times New Roman" w:hAnsi="Times New Roman"/>
          <w:sz w:val="20"/>
        </w:rPr>
        <w:t xml:space="preserve">”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 </w:t>
      </w:r>
    </w:p>
    <w:p>
      <w:pPr>
        <w:pStyle w:val="TextBody"/>
        <w:bidi w:val="0"/>
        <w:spacing w:before="240" w:after="0"/>
        <w:jc w:val="left"/>
        <w:rPr>
          <w:rFonts w:ascii="Times New Roman" w:hAnsi="Times New Roman"/>
          <w:sz w:val="20"/>
        </w:rPr>
      </w:pPr>
      <w:r>
        <w:rPr>
          <w:rFonts w:ascii="Times New Roman" w:hAnsi="Times New Roman"/>
          <w:b/>
          <w:sz w:val="20"/>
        </w:rPr>
        <w:t>(bb)</w:t>
      </w:r>
      <w:r>
        <w:rPr>
          <w:rFonts w:ascii="Times New Roman" w:hAnsi="Times New Roman"/>
          <w:sz w:val="20"/>
        </w:rPr>
        <w:t xml:space="preserve"> “</w:t>
      </w:r>
      <w:r>
        <w:rPr>
          <w:rFonts w:ascii="Times New Roman" w:hAnsi="Times New Roman"/>
          <w:b/>
          <w:i/>
          <w:sz w:val="20"/>
        </w:rPr>
        <w:t>Fair Market Value</w:t>
      </w:r>
      <w:r>
        <w:rPr>
          <w:rFonts w:ascii="Times New Roman" w:hAnsi="Times New Roman"/>
          <w:sz w:val="20"/>
        </w:rPr>
        <w:t xml:space="preserve">” means, as of any date, unless otherwise determined by the Board, the value of the Common Stock (as determined on a per share or aggregate basis, as applicable) determined as follows: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If there is no closing sales price for the Common Stock on the date of determination, then the Fair Market Value will be the closing selling price on the last preceding date for which such quotation exists.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In the absence of such markets for the Common Stock, or if otherwise determined by the Board, the Fair Market Value will be determined by the Board in good faith and in a manner that complies with Sections 409A and 422 of the Code. </w:t>
      </w:r>
    </w:p>
    <w:p>
      <w:pPr>
        <w:pStyle w:val="TextBody"/>
        <w:bidi w:val="0"/>
        <w:spacing w:before="240" w:after="0"/>
        <w:jc w:val="left"/>
        <w:rPr>
          <w:rFonts w:ascii="Times New Roman" w:hAnsi="Times New Roman"/>
          <w:sz w:val="20"/>
        </w:rPr>
      </w:pPr>
      <w:r>
        <w:rPr>
          <w:rFonts w:ascii="Times New Roman" w:hAnsi="Times New Roman"/>
          <w:b/>
          <w:sz w:val="20"/>
        </w:rPr>
        <w:t>(cc)</w:t>
      </w:r>
      <w:r>
        <w:rPr>
          <w:rFonts w:ascii="Times New Roman" w:hAnsi="Times New Roman"/>
          <w:sz w:val="20"/>
        </w:rPr>
        <w:t xml:space="preserve"> “</w:t>
      </w:r>
      <w:r>
        <w:rPr>
          <w:rFonts w:ascii="Times New Roman" w:hAnsi="Times New Roman"/>
          <w:b/>
          <w:i/>
          <w:sz w:val="20"/>
        </w:rPr>
        <w:t>Governmental</w:t>
      </w:r>
      <w:r>
        <w:rPr>
          <w:rFonts w:ascii="Times New Roman" w:hAnsi="Times New Roman"/>
          <w:sz w:val="20"/>
        </w:rPr>
        <w:t xml:space="preserve"> </w:t>
      </w:r>
      <w:r>
        <w:rPr>
          <w:rFonts w:ascii="Times New Roman" w:hAnsi="Times New Roman"/>
          <w:b/>
          <w:i/>
          <w:sz w:val="20"/>
        </w:rPr>
        <w:t>Body</w:t>
      </w:r>
      <w:r>
        <w:rPr>
          <w:rFonts w:ascii="Times New Roman" w:hAnsi="Times New Roman"/>
          <w:sz w:val="20"/>
        </w:rPr>
        <w:t xml:space="preserve">” means any: (i) nation, state, commonwealth, province, territory, county, municipality, district or other jurisdiction of any nature; (ii) federal, state, local, municipal, foreign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 </w:t>
      </w:r>
    </w:p>
    <w:p>
      <w:pPr>
        <w:pStyle w:val="TextBody"/>
        <w:bidi w:val="0"/>
        <w:spacing w:before="240" w:after="0"/>
        <w:jc w:val="left"/>
        <w:rPr>
          <w:rFonts w:ascii="Times New Roman" w:hAnsi="Times New Roman"/>
          <w:sz w:val="20"/>
        </w:rPr>
      </w:pPr>
      <w:r>
        <w:rPr>
          <w:rFonts w:ascii="Times New Roman" w:hAnsi="Times New Roman"/>
          <w:b/>
          <w:sz w:val="20"/>
        </w:rPr>
        <w:t>(dd)</w:t>
      </w:r>
      <w:r>
        <w:rPr>
          <w:rFonts w:ascii="Times New Roman" w:hAnsi="Times New Roman"/>
          <w:sz w:val="20"/>
        </w:rPr>
        <w:t xml:space="preserve"> “</w:t>
      </w:r>
      <w:r>
        <w:rPr>
          <w:rFonts w:ascii="Times New Roman" w:hAnsi="Times New Roman"/>
          <w:b/>
          <w:i/>
          <w:sz w:val="20"/>
        </w:rPr>
        <w:t>Grant Notice</w:t>
      </w:r>
      <w:r>
        <w:rPr>
          <w:rFonts w:ascii="Times New Roman" w:hAnsi="Times New Roman"/>
          <w:sz w:val="20"/>
        </w:rPr>
        <w:t xml:space="preserve">”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 </w:t>
      </w:r>
    </w:p>
    <w:p>
      <w:pPr>
        <w:pStyle w:val="TextBody"/>
        <w:bidi w:val="0"/>
        <w:spacing w:before="240" w:after="0"/>
        <w:jc w:val="left"/>
        <w:rPr>
          <w:rFonts w:ascii="Times New Roman" w:hAnsi="Times New Roman"/>
          <w:sz w:val="20"/>
        </w:rPr>
      </w:pPr>
      <w:r>
        <w:rPr>
          <w:rFonts w:ascii="Times New Roman" w:hAnsi="Times New Roman"/>
          <w:b/>
          <w:sz w:val="20"/>
        </w:rPr>
        <w:t>(ee)</w:t>
      </w:r>
      <w:r>
        <w:rPr>
          <w:rFonts w:ascii="Times New Roman" w:hAnsi="Times New Roman"/>
          <w:sz w:val="20"/>
        </w:rPr>
        <w:t xml:space="preserve"> “</w:t>
      </w:r>
      <w:r>
        <w:rPr>
          <w:rFonts w:ascii="Times New Roman" w:hAnsi="Times New Roman"/>
          <w:b/>
          <w:i/>
          <w:sz w:val="20"/>
        </w:rPr>
        <w:t>Incentive Stock Option</w:t>
      </w:r>
      <w:r>
        <w:rPr>
          <w:rFonts w:ascii="Times New Roman" w:hAnsi="Times New Roman"/>
          <w:sz w:val="20"/>
        </w:rPr>
        <w:t xml:space="preserve">” means an option granted pursuant to Section 4 of the Plan that is intended to be, and qualifies as, an “incentive stock option” within the meaning of Section 422 of the Code. </w:t>
      </w:r>
    </w:p>
    <w:p>
      <w:pPr>
        <w:pStyle w:val="TextBody"/>
        <w:bidi w:val="0"/>
        <w:spacing w:before="240" w:after="0"/>
        <w:jc w:val="left"/>
        <w:rPr>
          <w:rFonts w:ascii="Times New Roman" w:hAnsi="Times New Roman"/>
          <w:sz w:val="20"/>
        </w:rPr>
      </w:pPr>
      <w:r>
        <w:rPr>
          <w:rFonts w:ascii="Times New Roman" w:hAnsi="Times New Roman"/>
          <w:b/>
          <w:sz w:val="20"/>
        </w:rPr>
        <w:t>(ff)</w:t>
      </w:r>
      <w:r>
        <w:rPr>
          <w:rFonts w:ascii="Times New Roman" w:hAnsi="Times New Roman"/>
          <w:sz w:val="20"/>
        </w:rPr>
        <w:t xml:space="preserve"> “</w:t>
      </w:r>
      <w:r>
        <w:rPr>
          <w:rFonts w:ascii="Times New Roman" w:hAnsi="Times New Roman"/>
          <w:b/>
          <w:i/>
          <w:sz w:val="20"/>
        </w:rPr>
        <w:t>IPO Date</w:t>
      </w:r>
      <w:r>
        <w:rPr>
          <w:rFonts w:ascii="Times New Roman" w:hAnsi="Times New Roman"/>
          <w:sz w:val="20"/>
        </w:rPr>
        <w:t xml:space="preserve">” means the date of the underwriting agreement between the Company and the underwriter(s) managing the initial public offering of the Common Stock, pursuant to which the Common Stock is priced for the initial public offering. </w:t>
      </w:r>
    </w:p>
    <w:p>
      <w:pPr>
        <w:pStyle w:val="TextBody"/>
        <w:bidi w:val="0"/>
        <w:spacing w:before="240" w:after="0"/>
        <w:jc w:val="left"/>
        <w:rPr>
          <w:rFonts w:ascii="Times New Roman" w:hAnsi="Times New Roman"/>
          <w:sz w:val="20"/>
        </w:rPr>
      </w:pPr>
      <w:r>
        <w:rPr>
          <w:rFonts w:ascii="Times New Roman" w:hAnsi="Times New Roman"/>
          <w:b/>
          <w:sz w:val="20"/>
        </w:rPr>
        <w:t>(gg)</w:t>
      </w:r>
      <w:r>
        <w:rPr>
          <w:rFonts w:ascii="Times New Roman" w:hAnsi="Times New Roman"/>
          <w:sz w:val="20"/>
        </w:rPr>
        <w:t xml:space="preserve"> “</w:t>
      </w:r>
      <w:r>
        <w:rPr>
          <w:rFonts w:ascii="Times New Roman" w:hAnsi="Times New Roman"/>
          <w:b/>
          <w:i/>
          <w:sz w:val="20"/>
        </w:rPr>
        <w:t>Materially Impair</w:t>
      </w:r>
      <w:r>
        <w:rPr>
          <w:rFonts w:ascii="Times New Roman" w:hAnsi="Times New Roman"/>
          <w:sz w:val="20"/>
        </w:rPr>
        <w:t xml:space="preserve">”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(hh)</w:t>
      </w:r>
      <w:r>
        <w:rPr>
          <w:rFonts w:ascii="Times New Roman" w:hAnsi="Times New Roman"/>
          <w:sz w:val="20"/>
        </w:rPr>
        <w:t xml:space="preserve"> “</w:t>
      </w:r>
      <w:r>
        <w:rPr>
          <w:rFonts w:ascii="Times New Roman" w:hAnsi="Times New Roman"/>
          <w:b/>
          <w:i/>
          <w:sz w:val="20"/>
        </w:rPr>
        <w:t>Non-Employee Director</w:t>
      </w:r>
      <w:r>
        <w:rPr>
          <w:rFonts w:ascii="Times New Roman" w:hAnsi="Times New Roman"/>
          <w:sz w:val="20"/>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hAnsi="Times New Roman"/>
          <w:b/>
          <w:i/>
          <w:sz w:val="20"/>
        </w:rPr>
        <w:t>Regulation S-K</w:t>
      </w:r>
      <w:r>
        <w:rPr>
          <w:rFonts w:ascii="Times New Roman" w:hAnsi="Times New Roman"/>
          <w:sz w:val="20"/>
        </w:rPr>
        <w:t xml:space="preserve">”)),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w:t>
      </w:r>
      <w:r>
        <w:rPr>
          <w:rFonts w:ascii="Times New Roman" w:hAnsi="Times New Roman"/>
          <w:b/>
          <w:i/>
          <w:sz w:val="20"/>
        </w:rPr>
        <w:t>Non-Exempt Award</w:t>
      </w:r>
      <w:r>
        <w:rPr>
          <w:rFonts w:ascii="Times New Roman" w:hAnsi="Times New Roman"/>
          <w:sz w:val="20"/>
        </w:rPr>
        <w:t xml:space="preserve">” means any Award that is subject to, and not exempt from, Section 409A, including as the result of (i) a deferral of the issuance of the shares subject to the Award which is elected by the Participant or imposed by the Company, or (ii) the terms of any Non-Exempt Severance Agreement. </w:t>
      </w:r>
    </w:p>
    <w:p>
      <w:pPr>
        <w:pStyle w:val="TextBody"/>
        <w:bidi w:val="0"/>
        <w:spacing w:before="240" w:after="0"/>
        <w:jc w:val="left"/>
        <w:rPr>
          <w:rFonts w:ascii="Times New Roman" w:hAnsi="Times New Roman"/>
          <w:sz w:val="20"/>
        </w:rPr>
      </w:pPr>
      <w:r>
        <w:rPr>
          <w:rFonts w:ascii="Times New Roman" w:hAnsi="Times New Roman"/>
          <w:b/>
          <w:sz w:val="20"/>
        </w:rPr>
        <w:t>(jj)</w:t>
      </w:r>
      <w:r>
        <w:rPr>
          <w:rFonts w:ascii="Times New Roman" w:hAnsi="Times New Roman"/>
          <w:sz w:val="20"/>
        </w:rPr>
        <w:t xml:space="preserve"> “</w:t>
      </w:r>
      <w:r>
        <w:rPr>
          <w:rFonts w:ascii="Times New Roman" w:hAnsi="Times New Roman"/>
          <w:b/>
          <w:i/>
          <w:sz w:val="20"/>
        </w:rPr>
        <w:t>Non-Exempt Director Award</w:t>
      </w:r>
      <w:r>
        <w:rPr>
          <w:rFonts w:ascii="Times New Roman" w:hAnsi="Times New Roman"/>
          <w:sz w:val="20"/>
        </w:rPr>
        <w:t xml:space="preserve">” means a Non-Exempt Award granted to a Participant who was a Director but not an Employee on the applicable grant date. </w:t>
      </w:r>
    </w:p>
    <w:p>
      <w:pPr>
        <w:pStyle w:val="TextBody"/>
        <w:bidi w:val="0"/>
        <w:spacing w:before="240" w:after="0"/>
        <w:jc w:val="left"/>
        <w:rPr>
          <w:rFonts w:ascii="Times New Roman" w:hAnsi="Times New Roman"/>
          <w:sz w:val="20"/>
        </w:rPr>
      </w:pPr>
      <w:r>
        <w:rPr>
          <w:rFonts w:ascii="Times New Roman" w:hAnsi="Times New Roman"/>
          <w:b/>
          <w:sz w:val="20"/>
        </w:rPr>
        <w:t>(kk)</w:t>
      </w:r>
      <w:r>
        <w:rPr>
          <w:rFonts w:ascii="Times New Roman" w:hAnsi="Times New Roman"/>
          <w:sz w:val="20"/>
        </w:rPr>
        <w:t xml:space="preserve"> “</w:t>
      </w:r>
      <w:r>
        <w:rPr>
          <w:rFonts w:ascii="Times New Roman" w:hAnsi="Times New Roman"/>
          <w:b/>
          <w:i/>
          <w:sz w:val="20"/>
        </w:rPr>
        <w:t>Non-Exempt Severance Arrangement</w:t>
      </w:r>
      <w:r>
        <w:rPr>
          <w:rFonts w:ascii="Times New Roman" w:hAnsi="Times New Roman"/>
          <w:sz w:val="20"/>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hAnsi="Times New Roman"/>
          <w:b/>
          <w:i/>
          <w:sz w:val="20"/>
        </w:rPr>
        <w:t>Separation from Service</w:t>
      </w:r>
      <w:r>
        <w:rPr>
          <w:rFonts w:ascii="Times New Roman" w:hAnsi="Times New Roman"/>
          <w:sz w:val="20"/>
        </w:rPr>
        <w:t xml:space="preserve">”) and such severance benefit does not satisfy the requirements for an exemption from application of Section 409A provided under Treasury Regulations Section 1.409A-1(b)(4), 1.409A-1(b)(9) or otherwise. </w:t>
      </w:r>
    </w:p>
    <w:p>
      <w:pPr>
        <w:pStyle w:val="TextBody"/>
        <w:bidi w:val="0"/>
        <w:spacing w:before="240" w:after="0"/>
        <w:jc w:val="left"/>
        <w:rPr>
          <w:rFonts w:ascii="Times New Roman" w:hAnsi="Times New Roman"/>
          <w:sz w:val="20"/>
        </w:rPr>
      </w:pPr>
      <w:r>
        <w:rPr>
          <w:rFonts w:ascii="Times New Roman" w:hAnsi="Times New Roman"/>
          <w:b/>
          <w:sz w:val="20"/>
        </w:rPr>
        <w:t>(ll)</w:t>
      </w:r>
      <w:r>
        <w:rPr>
          <w:rFonts w:ascii="Times New Roman" w:hAnsi="Times New Roman"/>
          <w:sz w:val="20"/>
        </w:rPr>
        <w:t xml:space="preserve"> “</w:t>
      </w:r>
      <w:r>
        <w:rPr>
          <w:rFonts w:ascii="Times New Roman" w:hAnsi="Times New Roman"/>
          <w:b/>
          <w:i/>
          <w:sz w:val="20"/>
        </w:rPr>
        <w:t>Nonstatutory Stock Option</w:t>
      </w:r>
      <w:r>
        <w:rPr>
          <w:rFonts w:ascii="Times New Roman" w:hAnsi="Times New Roman"/>
          <w:sz w:val="20"/>
        </w:rPr>
        <w:t xml:space="preserve">” means any option granted pursuant to Section 4 of the Plan that does not qualify as an Incentive Stock Option. </w:t>
      </w:r>
    </w:p>
    <w:p>
      <w:pPr>
        <w:pStyle w:val="TextBody"/>
        <w:bidi w:val="0"/>
        <w:spacing w:before="240" w:after="0"/>
        <w:jc w:val="left"/>
        <w:rPr>
          <w:rFonts w:ascii="Times New Roman" w:hAnsi="Times New Roman"/>
          <w:sz w:val="20"/>
        </w:rPr>
      </w:pPr>
      <w:r>
        <w:rPr>
          <w:rFonts w:ascii="Times New Roman" w:hAnsi="Times New Roman"/>
          <w:b/>
          <w:sz w:val="20"/>
        </w:rPr>
        <w:t>(mm)</w:t>
      </w:r>
      <w:r>
        <w:rPr>
          <w:rFonts w:ascii="Times New Roman" w:hAnsi="Times New Roman"/>
          <w:sz w:val="20"/>
        </w:rPr>
        <w:t xml:space="preserve"> “</w:t>
      </w:r>
      <w:r>
        <w:rPr>
          <w:rFonts w:ascii="Times New Roman" w:hAnsi="Times New Roman"/>
          <w:b/>
          <w:i/>
          <w:sz w:val="20"/>
        </w:rPr>
        <w:t>Officer</w:t>
      </w:r>
      <w:r>
        <w:rPr>
          <w:rFonts w:ascii="Times New Roman" w:hAnsi="Times New Roman"/>
          <w:sz w:val="20"/>
        </w:rPr>
        <w:t xml:space="preserve">” means a person who is an officer of the Company within the meaning of Section 16 of the Exchange Act. </w:t>
      </w:r>
    </w:p>
    <w:p>
      <w:pPr>
        <w:pStyle w:val="TextBody"/>
        <w:bidi w:val="0"/>
        <w:spacing w:before="240" w:after="0"/>
        <w:jc w:val="left"/>
        <w:rPr>
          <w:rFonts w:ascii="Times New Roman" w:hAnsi="Times New Roman"/>
          <w:sz w:val="20"/>
        </w:rPr>
      </w:pPr>
      <w:r>
        <w:rPr>
          <w:rFonts w:ascii="Times New Roman" w:hAnsi="Times New Roman"/>
          <w:b/>
          <w:sz w:val="20"/>
        </w:rPr>
        <w:t>(nn)</w:t>
      </w:r>
      <w:r>
        <w:rPr>
          <w:rFonts w:ascii="Times New Roman" w:hAnsi="Times New Roman"/>
          <w:sz w:val="20"/>
        </w:rPr>
        <w:t xml:space="preserve"> “</w:t>
      </w:r>
      <w:r>
        <w:rPr>
          <w:rFonts w:ascii="Times New Roman" w:hAnsi="Times New Roman"/>
          <w:b/>
          <w:i/>
          <w:sz w:val="20"/>
        </w:rPr>
        <w:t>Option</w:t>
      </w:r>
      <w:r>
        <w:rPr>
          <w:rFonts w:ascii="Times New Roman" w:hAnsi="Times New Roman"/>
          <w:sz w:val="20"/>
        </w:rPr>
        <w:t xml:space="preserve">” means an Incentive Stock Option or a Nonstatutory Stock Option to purchase shares of Common Stock granted pursuant to the Plan. </w:t>
      </w:r>
    </w:p>
    <w:p>
      <w:pPr>
        <w:pStyle w:val="TextBody"/>
        <w:bidi w:val="0"/>
        <w:spacing w:before="240" w:after="0"/>
        <w:jc w:val="left"/>
        <w:rPr>
          <w:rFonts w:ascii="Times New Roman" w:hAnsi="Times New Roman"/>
          <w:sz w:val="20"/>
        </w:rPr>
      </w:pPr>
      <w:r>
        <w:rPr>
          <w:rFonts w:ascii="Times New Roman" w:hAnsi="Times New Roman"/>
          <w:b/>
          <w:sz w:val="20"/>
        </w:rPr>
        <w:t>(oo)</w:t>
      </w:r>
      <w:r>
        <w:rPr>
          <w:rFonts w:ascii="Times New Roman" w:hAnsi="Times New Roman"/>
          <w:sz w:val="20"/>
        </w:rPr>
        <w:t xml:space="preserve"> “</w:t>
      </w:r>
      <w:r>
        <w:rPr>
          <w:rFonts w:ascii="Times New Roman" w:hAnsi="Times New Roman"/>
          <w:b/>
          <w:i/>
          <w:sz w:val="20"/>
        </w:rPr>
        <w:t>Option Agreement</w:t>
      </w:r>
      <w:r>
        <w:rPr>
          <w:rFonts w:ascii="Times New Roman" w:hAnsi="Times New Roman"/>
          <w:sz w:val="20"/>
        </w:rPr>
        <w:t xml:space="preserve">” means a written or electronic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(pp)</w:t>
      </w:r>
      <w:r>
        <w:rPr>
          <w:rFonts w:ascii="Times New Roman" w:hAnsi="Times New Roman"/>
          <w:sz w:val="20"/>
        </w:rPr>
        <w:t xml:space="preserve"> “</w:t>
      </w:r>
      <w:r>
        <w:rPr>
          <w:rFonts w:ascii="Times New Roman" w:hAnsi="Times New Roman"/>
          <w:b/>
          <w:i/>
          <w:sz w:val="20"/>
        </w:rPr>
        <w:t>Optionholder</w:t>
      </w:r>
      <w:r>
        <w:rPr>
          <w:rFonts w:ascii="Times New Roman" w:hAnsi="Times New Roman"/>
          <w:sz w:val="20"/>
        </w:rPr>
        <w:t xml:space="preserve">” means a person to whom an Option is granted pursuant to the Plan or, if applicable, such other person who holds an outstanding Option. </w:t>
      </w:r>
    </w:p>
    <w:p>
      <w:pPr>
        <w:pStyle w:val="TextBody"/>
        <w:bidi w:val="0"/>
        <w:spacing w:before="240" w:after="0"/>
        <w:jc w:val="left"/>
        <w:rPr>
          <w:rFonts w:ascii="Times New Roman" w:hAnsi="Times New Roman"/>
          <w:sz w:val="20"/>
        </w:rPr>
      </w:pPr>
      <w:r>
        <w:rPr>
          <w:rFonts w:ascii="Times New Roman" w:hAnsi="Times New Roman"/>
          <w:b/>
          <w:sz w:val="20"/>
        </w:rPr>
        <w:t>(qq)</w:t>
      </w:r>
      <w:r>
        <w:rPr>
          <w:rFonts w:ascii="Times New Roman" w:hAnsi="Times New Roman"/>
          <w:sz w:val="20"/>
        </w:rPr>
        <w:t xml:space="preserve"> “</w:t>
      </w:r>
      <w:r>
        <w:rPr>
          <w:rFonts w:ascii="Times New Roman" w:hAnsi="Times New Roman"/>
          <w:b/>
          <w:i/>
          <w:sz w:val="20"/>
        </w:rPr>
        <w:t>Other Award</w:t>
      </w:r>
      <w:r>
        <w:rPr>
          <w:rFonts w:ascii="Times New Roman" w:hAnsi="Times New Roman"/>
          <w:sz w:val="20"/>
        </w:rPr>
        <w:t xml:space="preserve">” means an award valued in whole or in part by reference to, or otherwise based on, Common Stock, including the appreciation in value thereof (e.g., options or stock rights with an exercise price or strike price less than 100% of the Fair Market Value at the time of grant) that is not an Incentive Stock Option, Nonstatutory Stock Option, SAR, Restricted Stock Award, RSU Award or Performance Award. </w:t>
      </w:r>
    </w:p>
    <w:p>
      <w:pPr>
        <w:pStyle w:val="TextBody"/>
        <w:bidi w:val="0"/>
        <w:spacing w:before="240" w:after="0"/>
        <w:jc w:val="left"/>
        <w:rPr>
          <w:rFonts w:ascii="Times New Roman" w:hAnsi="Times New Roman"/>
          <w:sz w:val="20"/>
        </w:rPr>
      </w:pPr>
      <w:r>
        <w:rPr>
          <w:rFonts w:ascii="Times New Roman" w:hAnsi="Times New Roman"/>
          <w:b/>
          <w:sz w:val="20"/>
        </w:rPr>
        <w:t>(rr)</w:t>
      </w:r>
      <w:r>
        <w:rPr>
          <w:rFonts w:ascii="Times New Roman" w:hAnsi="Times New Roman"/>
          <w:sz w:val="20"/>
        </w:rPr>
        <w:t xml:space="preserve"> “</w:t>
      </w:r>
      <w:r>
        <w:rPr>
          <w:rFonts w:ascii="Times New Roman" w:hAnsi="Times New Roman"/>
          <w:b/>
          <w:i/>
          <w:sz w:val="20"/>
        </w:rPr>
        <w:t>Other Award Agreement</w:t>
      </w:r>
      <w:r>
        <w:rPr>
          <w:rFonts w:ascii="Times New Roman" w:hAnsi="Times New Roman"/>
          <w:sz w:val="20"/>
        </w:rPr>
        <w:t xml:space="preserve">” means a written or electronic agreement between the Company and a holder of an Other Award evidencing the terms and conditions of an Other Award grant. Each Other Award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(ss)</w:t>
      </w:r>
      <w:r>
        <w:rPr>
          <w:rFonts w:ascii="Times New Roman" w:hAnsi="Times New Roman"/>
          <w:sz w:val="20"/>
        </w:rPr>
        <w:t xml:space="preserve"> “</w:t>
      </w:r>
      <w:r>
        <w:rPr>
          <w:rFonts w:ascii="Times New Roman" w:hAnsi="Times New Roman"/>
          <w:b/>
          <w:i/>
          <w:sz w:val="20"/>
        </w:rPr>
        <w:t>Own,</w:t>
      </w:r>
      <w:r>
        <w:rPr>
          <w:rFonts w:ascii="Times New Roman" w:hAnsi="Times New Roman"/>
          <w:sz w:val="20"/>
        </w:rPr>
        <w:t>” “</w:t>
      </w:r>
      <w:r>
        <w:rPr>
          <w:rFonts w:ascii="Times New Roman" w:hAnsi="Times New Roman"/>
          <w:b/>
          <w:i/>
          <w:sz w:val="20"/>
        </w:rPr>
        <w:t>Owned,</w:t>
      </w:r>
      <w:r>
        <w:rPr>
          <w:rFonts w:ascii="Times New Roman" w:hAnsi="Times New Roman"/>
          <w:sz w:val="20"/>
        </w:rPr>
        <w:t>” “</w:t>
      </w:r>
      <w:r>
        <w:rPr>
          <w:rFonts w:ascii="Times New Roman" w:hAnsi="Times New Roman"/>
          <w:b/>
          <w:i/>
          <w:sz w:val="20"/>
        </w:rPr>
        <w:t>Owner,</w:t>
      </w:r>
      <w:r>
        <w:rPr>
          <w:rFonts w:ascii="Times New Roman" w:hAnsi="Times New Roman"/>
          <w:sz w:val="20"/>
        </w:rPr>
        <w:t>” “</w:t>
      </w:r>
      <w:r>
        <w:rPr>
          <w:rFonts w:ascii="Times New Roman" w:hAnsi="Times New Roman"/>
          <w:b/>
          <w:i/>
          <w:sz w:val="20"/>
        </w:rPr>
        <w:t>Ownership</w:t>
      </w:r>
      <w:r>
        <w:rPr>
          <w:rFonts w:ascii="Times New Roman" w:hAnsi="Times New Roman"/>
          <w:sz w:val="20"/>
        </w:rPr>
        <w:t xml:space="preserve">”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(tt)</w:t>
      </w:r>
      <w:r>
        <w:rPr>
          <w:rFonts w:ascii="Times New Roman" w:hAnsi="Times New Roman"/>
          <w:sz w:val="20"/>
        </w:rPr>
        <w:t xml:space="preserve"> “</w:t>
      </w:r>
      <w:r>
        <w:rPr>
          <w:rFonts w:ascii="Times New Roman" w:hAnsi="Times New Roman"/>
          <w:b/>
          <w:i/>
          <w:sz w:val="20"/>
        </w:rPr>
        <w:t>Participant</w:t>
      </w:r>
      <w:r>
        <w:rPr>
          <w:rFonts w:ascii="Times New Roman" w:hAnsi="Times New Roman"/>
          <w:sz w:val="20"/>
        </w:rPr>
        <w:t xml:space="preserve">” means an Employee, Director or Consultant to whom an Award is granted pursuant to the Plan or, if applicable, such other person who holds an outstanding Award. </w:t>
      </w:r>
    </w:p>
    <w:p>
      <w:pPr>
        <w:pStyle w:val="TextBody"/>
        <w:bidi w:val="0"/>
        <w:spacing w:before="240" w:after="0"/>
        <w:jc w:val="left"/>
        <w:rPr>
          <w:rFonts w:ascii="Times New Roman" w:hAnsi="Times New Roman"/>
          <w:sz w:val="20"/>
        </w:rPr>
      </w:pPr>
      <w:r>
        <w:rPr>
          <w:rFonts w:ascii="Times New Roman" w:hAnsi="Times New Roman"/>
          <w:b/>
          <w:sz w:val="20"/>
        </w:rPr>
        <w:t>(uu)</w:t>
      </w:r>
      <w:r>
        <w:rPr>
          <w:rFonts w:ascii="Times New Roman" w:hAnsi="Times New Roman"/>
          <w:sz w:val="20"/>
        </w:rPr>
        <w:t xml:space="preserve"> “</w:t>
      </w:r>
      <w:r>
        <w:rPr>
          <w:rFonts w:ascii="Times New Roman" w:hAnsi="Times New Roman"/>
          <w:b/>
          <w:i/>
          <w:sz w:val="20"/>
        </w:rPr>
        <w:t>Performance Award</w:t>
      </w:r>
      <w:r>
        <w:rPr>
          <w:rFonts w:ascii="Times New Roman" w:hAnsi="Times New Roman"/>
          <w:sz w:val="20"/>
        </w:rPr>
        <w:t xml:space="preserve">”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 </w:t>
      </w:r>
    </w:p>
    <w:p>
      <w:pPr>
        <w:pStyle w:val="TextBody"/>
        <w:bidi w:val="0"/>
        <w:spacing w:before="240" w:after="0"/>
        <w:jc w:val="left"/>
        <w:rPr>
          <w:rFonts w:ascii="Times New Roman" w:hAnsi="Times New Roman"/>
          <w:sz w:val="20"/>
        </w:rPr>
      </w:pPr>
      <w:r>
        <w:rPr>
          <w:rFonts w:ascii="Times New Roman" w:hAnsi="Times New Roman"/>
          <w:b/>
          <w:sz w:val="20"/>
        </w:rPr>
        <w:t>(vv)</w:t>
      </w:r>
      <w:r>
        <w:rPr>
          <w:rFonts w:ascii="Times New Roman" w:hAnsi="Times New Roman"/>
          <w:sz w:val="20"/>
        </w:rPr>
        <w:t xml:space="preserve"> “</w:t>
      </w:r>
      <w:r>
        <w:rPr>
          <w:rFonts w:ascii="Times New Roman" w:hAnsi="Times New Roman"/>
          <w:b/>
          <w:i/>
          <w:sz w:val="20"/>
        </w:rPr>
        <w:t>Performance Criteria</w:t>
      </w:r>
      <w:r>
        <w:rPr>
          <w:rFonts w:ascii="Times New Roman" w:hAnsi="Times New Roman"/>
          <w:sz w:val="20"/>
        </w:rPr>
        <w:t xml:space="preserve">” means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 </w:t>
      </w:r>
    </w:p>
    <w:p>
      <w:pPr>
        <w:pStyle w:val="TextBody"/>
        <w:bidi w:val="0"/>
        <w:spacing w:before="240" w:after="0"/>
        <w:jc w:val="left"/>
        <w:rPr>
          <w:rFonts w:ascii="Times New Roman" w:hAnsi="Times New Roman"/>
          <w:sz w:val="20"/>
        </w:rPr>
      </w:pPr>
      <w:r>
        <w:rPr>
          <w:rFonts w:ascii="Times New Roman" w:hAnsi="Times New Roman"/>
          <w:b/>
          <w:sz w:val="20"/>
        </w:rPr>
        <w:t>(ww)</w:t>
      </w:r>
      <w:r>
        <w:rPr>
          <w:rFonts w:ascii="Times New Roman" w:hAnsi="Times New Roman"/>
          <w:sz w:val="20"/>
        </w:rPr>
        <w:t xml:space="preserve"> “</w:t>
      </w:r>
      <w:r>
        <w:rPr>
          <w:rFonts w:ascii="Times New Roman" w:hAnsi="Times New Roman"/>
          <w:b/>
          <w:i/>
          <w:sz w:val="20"/>
        </w:rPr>
        <w:t>Performance Goals</w:t>
      </w:r>
      <w:r>
        <w:rPr>
          <w:rFonts w:ascii="Times New Roman" w:hAnsi="Times New Roman"/>
          <w:sz w:val="20"/>
        </w:rPr>
        <w:t xml:space="preserve">” means, for a Performance Period,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w:t>
      </w:r>
    </w:p>
    <w:p>
      <w:pPr>
        <w:pStyle w:val="TextBody"/>
        <w:bidi w:val="0"/>
        <w:spacing w:before="240" w:after="0"/>
        <w:jc w:val="left"/>
        <w:rPr>
          <w:rFonts w:ascii="Times New Roman" w:hAnsi="Times New Roman"/>
          <w:sz w:val="20"/>
        </w:rPr>
      </w:pPr>
      <w:r>
        <w:rPr>
          <w:rFonts w:ascii="Times New Roman" w:hAnsi="Times New Roman"/>
          <w:sz w:val="20"/>
        </w:rPr>
        <w:t xml:space="preserve">(1)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In addition, the Board retains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 </w:t>
      </w:r>
    </w:p>
    <w:p>
      <w:pPr>
        <w:pStyle w:val="TextBody"/>
        <w:bidi w:val="0"/>
        <w:spacing w:before="240" w:after="0"/>
        <w:jc w:val="left"/>
        <w:rPr>
          <w:rFonts w:ascii="Times New Roman" w:hAnsi="Times New Roman"/>
          <w:sz w:val="20"/>
        </w:rPr>
      </w:pPr>
      <w:r>
        <w:rPr>
          <w:rFonts w:ascii="Times New Roman" w:hAnsi="Times New Roman"/>
          <w:b/>
          <w:sz w:val="20"/>
        </w:rPr>
        <w:t>(xx)</w:t>
      </w:r>
      <w:r>
        <w:rPr>
          <w:rFonts w:ascii="Times New Roman" w:hAnsi="Times New Roman"/>
          <w:sz w:val="20"/>
        </w:rPr>
        <w:t xml:space="preserve"> “</w:t>
      </w:r>
      <w:r>
        <w:rPr>
          <w:rFonts w:ascii="Times New Roman" w:hAnsi="Times New Roman"/>
          <w:b/>
          <w:i/>
          <w:sz w:val="20"/>
        </w:rPr>
        <w:t>Performance Period</w:t>
      </w:r>
      <w:r>
        <w:rPr>
          <w:rFonts w:ascii="Times New Roman" w:hAnsi="Times New Roman"/>
          <w:sz w:val="20"/>
        </w:rPr>
        <w:t xml:space="preserve">”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 </w:t>
      </w:r>
    </w:p>
    <w:p>
      <w:pPr>
        <w:pStyle w:val="TextBody"/>
        <w:bidi w:val="0"/>
        <w:spacing w:before="240" w:after="0"/>
        <w:jc w:val="left"/>
        <w:rPr>
          <w:rFonts w:ascii="Times New Roman" w:hAnsi="Times New Roman"/>
          <w:sz w:val="20"/>
        </w:rPr>
      </w:pPr>
      <w:r>
        <w:rPr>
          <w:rFonts w:ascii="Times New Roman" w:hAnsi="Times New Roman"/>
          <w:b/>
          <w:sz w:val="20"/>
        </w:rPr>
        <w:t>(yy)</w:t>
      </w:r>
      <w:r>
        <w:rPr>
          <w:rFonts w:ascii="Times New Roman" w:hAnsi="Times New Roman"/>
          <w:sz w:val="20"/>
        </w:rPr>
        <w:t xml:space="preserve"> “</w:t>
      </w:r>
      <w:r>
        <w:rPr>
          <w:rFonts w:ascii="Times New Roman" w:hAnsi="Times New Roman"/>
          <w:b/>
          <w:i/>
          <w:sz w:val="20"/>
        </w:rPr>
        <w:t>Plan</w:t>
      </w:r>
      <w:r>
        <w:rPr>
          <w:rFonts w:ascii="Times New Roman" w:hAnsi="Times New Roman"/>
          <w:sz w:val="20"/>
        </w:rPr>
        <w:t xml:space="preserve">” means this Climb Bio, Inc. (formerly known as Eliem Therapeutics, Inc.) 2021 Equity Incentive Plan, as amended from time to time. </w:t>
      </w:r>
    </w:p>
    <w:p>
      <w:pPr>
        <w:pStyle w:val="TextBody"/>
        <w:bidi w:val="0"/>
        <w:spacing w:before="240" w:after="0"/>
        <w:jc w:val="left"/>
        <w:rPr>
          <w:rFonts w:ascii="Times New Roman" w:hAnsi="Times New Roman"/>
          <w:sz w:val="20"/>
        </w:rPr>
      </w:pPr>
      <w:r>
        <w:rPr>
          <w:rFonts w:ascii="Times New Roman" w:hAnsi="Times New Roman"/>
          <w:b/>
          <w:sz w:val="20"/>
        </w:rPr>
        <w:t>(zz)</w:t>
      </w:r>
      <w:r>
        <w:rPr>
          <w:rFonts w:ascii="Times New Roman" w:hAnsi="Times New Roman"/>
          <w:sz w:val="20"/>
        </w:rPr>
        <w:t xml:space="preserve"> “</w:t>
      </w:r>
      <w:r>
        <w:rPr>
          <w:rFonts w:ascii="Times New Roman" w:hAnsi="Times New Roman"/>
          <w:b/>
          <w:i/>
          <w:sz w:val="20"/>
        </w:rPr>
        <w:t>Plan Administrator</w:t>
      </w:r>
      <w:r>
        <w:rPr>
          <w:rFonts w:ascii="Times New Roman" w:hAnsi="Times New Roman"/>
          <w:sz w:val="20"/>
        </w:rPr>
        <w:t xml:space="preserve">” means the person, persons, and/or third-party administrator designated by the Company to administer the day to day operations of the Plan and the Company’s other equity incentive programs. </w:t>
      </w:r>
    </w:p>
    <w:p>
      <w:pPr>
        <w:pStyle w:val="TextBody"/>
        <w:bidi w:val="0"/>
        <w:spacing w:before="240" w:after="0"/>
        <w:jc w:val="left"/>
        <w:rPr>
          <w:rFonts w:ascii="Times New Roman" w:hAnsi="Times New Roman"/>
          <w:sz w:val="20"/>
        </w:rPr>
      </w:pPr>
      <w:r>
        <w:rPr>
          <w:rFonts w:ascii="Times New Roman" w:hAnsi="Times New Roman"/>
          <w:b/>
          <w:sz w:val="20"/>
        </w:rPr>
        <w:t>(aaa)</w:t>
      </w:r>
      <w:r>
        <w:rPr>
          <w:rFonts w:ascii="Times New Roman" w:hAnsi="Times New Roman"/>
          <w:sz w:val="20"/>
        </w:rPr>
        <w:t xml:space="preserve"> “</w:t>
      </w:r>
      <w:r>
        <w:rPr>
          <w:rFonts w:ascii="Times New Roman" w:hAnsi="Times New Roman"/>
          <w:b/>
          <w:i/>
          <w:sz w:val="20"/>
        </w:rPr>
        <w:t>Post-Termination Exercise Period</w:t>
      </w:r>
      <w:r>
        <w:rPr>
          <w:rFonts w:ascii="Times New Roman" w:hAnsi="Times New Roman"/>
          <w:sz w:val="20"/>
        </w:rPr>
        <w:t xml:space="preserve">” means the period following termination of a Participant’s Continuous Service within which an Option or SAR is exercisable, as specified in Section 4(h). </w:t>
      </w:r>
    </w:p>
    <w:p>
      <w:pPr>
        <w:pStyle w:val="TextBody"/>
        <w:bidi w:val="0"/>
        <w:spacing w:before="240" w:after="0"/>
        <w:jc w:val="left"/>
        <w:rPr>
          <w:rFonts w:ascii="Times New Roman" w:hAnsi="Times New Roman"/>
          <w:sz w:val="20"/>
        </w:rPr>
      </w:pPr>
      <w:r>
        <w:rPr>
          <w:rFonts w:ascii="Times New Roman" w:hAnsi="Times New Roman"/>
          <w:b/>
          <w:sz w:val="20"/>
        </w:rPr>
        <w:t>(bbb)</w:t>
      </w:r>
      <w:r>
        <w:rPr>
          <w:rFonts w:ascii="Times New Roman" w:hAnsi="Times New Roman"/>
          <w:sz w:val="20"/>
        </w:rPr>
        <w:t xml:space="preserve"> “</w:t>
      </w:r>
      <w:r>
        <w:rPr>
          <w:rFonts w:ascii="Times New Roman" w:hAnsi="Times New Roman"/>
          <w:b/>
          <w:i/>
          <w:sz w:val="20"/>
        </w:rPr>
        <w:t>Prior Plan</w:t>
      </w:r>
      <w:r>
        <w:rPr>
          <w:rFonts w:ascii="Times New Roman" w:hAnsi="Times New Roman"/>
          <w:sz w:val="20"/>
        </w:rPr>
        <w:t xml:space="preserve">” means the Eliem Therapeutics, Inc. 2019 Equity Incentive Plan, as amended. </w:t>
      </w:r>
    </w:p>
    <w:p>
      <w:pPr>
        <w:pStyle w:val="TextBody"/>
        <w:bidi w:val="0"/>
        <w:spacing w:before="240" w:after="0"/>
        <w:jc w:val="left"/>
        <w:rPr>
          <w:rFonts w:ascii="Times New Roman" w:hAnsi="Times New Roman"/>
          <w:sz w:val="20"/>
        </w:rPr>
      </w:pPr>
      <w:r>
        <w:rPr>
          <w:rFonts w:ascii="Times New Roman" w:hAnsi="Times New Roman"/>
          <w:b/>
          <w:sz w:val="20"/>
        </w:rPr>
        <w:t>(ccc)</w:t>
      </w:r>
      <w:r>
        <w:rPr>
          <w:rFonts w:ascii="Times New Roman" w:hAnsi="Times New Roman"/>
          <w:sz w:val="20"/>
        </w:rPr>
        <w:t xml:space="preserve"> “</w:t>
      </w:r>
      <w:r>
        <w:rPr>
          <w:rFonts w:ascii="Times New Roman" w:hAnsi="Times New Roman"/>
          <w:b/>
          <w:i/>
          <w:sz w:val="20"/>
        </w:rPr>
        <w:t>Restricted Stock Award</w:t>
      </w:r>
      <w:r>
        <w:rPr>
          <w:rFonts w:ascii="Times New Roman" w:hAnsi="Times New Roman"/>
          <w:sz w:val="20"/>
        </w:rPr>
        <w:t>” or “</w:t>
      </w:r>
      <w:r>
        <w:rPr>
          <w:rFonts w:ascii="Times New Roman" w:hAnsi="Times New Roman"/>
          <w:b/>
          <w:i/>
          <w:sz w:val="20"/>
        </w:rPr>
        <w:t>RSA</w:t>
      </w:r>
      <w:r>
        <w:rPr>
          <w:rFonts w:ascii="Times New Roman" w:hAnsi="Times New Roman"/>
          <w:sz w:val="20"/>
        </w:rPr>
        <w:t xml:space="preserve">” means an Award of shares of Common Stock which is granted pursuant to the terms and conditions of Section 5(a). </w:t>
      </w:r>
    </w:p>
    <w:p>
      <w:pPr>
        <w:pStyle w:val="TextBody"/>
        <w:bidi w:val="0"/>
        <w:spacing w:before="240" w:after="0"/>
        <w:jc w:val="left"/>
        <w:rPr>
          <w:rFonts w:ascii="Times New Roman" w:hAnsi="Times New Roman"/>
          <w:sz w:val="20"/>
        </w:rPr>
      </w:pPr>
      <w:r>
        <w:rPr>
          <w:rFonts w:ascii="Times New Roman" w:hAnsi="Times New Roman"/>
          <w:b/>
          <w:sz w:val="20"/>
        </w:rPr>
        <w:t>(ddd)</w:t>
      </w:r>
      <w:r>
        <w:rPr>
          <w:rFonts w:ascii="Times New Roman" w:hAnsi="Times New Roman"/>
          <w:sz w:val="20"/>
        </w:rPr>
        <w:t xml:space="preserve"> “</w:t>
      </w:r>
      <w:r>
        <w:rPr>
          <w:rFonts w:ascii="Times New Roman" w:hAnsi="Times New Roman"/>
          <w:b/>
          <w:i/>
          <w:sz w:val="20"/>
        </w:rPr>
        <w:t>Restricted Stock Award Agreement</w:t>
      </w:r>
      <w:r>
        <w:rPr>
          <w:rFonts w:ascii="Times New Roman" w:hAnsi="Times New Roman"/>
          <w:sz w:val="20"/>
        </w:rPr>
        <w:t xml:space="preserve">” means a written or electronic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(eee)</w:t>
      </w:r>
      <w:r>
        <w:rPr>
          <w:rFonts w:ascii="Times New Roman" w:hAnsi="Times New Roman"/>
          <w:sz w:val="20"/>
        </w:rPr>
        <w:t xml:space="preserve"> “</w:t>
      </w:r>
      <w:r>
        <w:rPr>
          <w:rFonts w:ascii="Times New Roman" w:hAnsi="Times New Roman"/>
          <w:b/>
          <w:i/>
          <w:sz w:val="20"/>
        </w:rPr>
        <w:t>Returning Shares</w:t>
      </w:r>
      <w:r>
        <w:rPr>
          <w:rFonts w:ascii="Times New Roman" w:hAnsi="Times New Roman"/>
          <w:sz w:val="20"/>
        </w:rPr>
        <w:t xml:space="preserve">” means shares subject to outstanding stock awards granted under the Prior Plan and that 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 </w:t>
      </w:r>
    </w:p>
    <w:p>
      <w:pPr>
        <w:pStyle w:val="TextBody"/>
        <w:bidi w:val="0"/>
        <w:spacing w:before="240" w:after="0"/>
        <w:jc w:val="left"/>
        <w:rPr>
          <w:rFonts w:ascii="Times New Roman" w:hAnsi="Times New Roman"/>
          <w:sz w:val="20"/>
        </w:rPr>
      </w:pPr>
      <w:r>
        <w:rPr>
          <w:rFonts w:ascii="Times New Roman" w:hAnsi="Times New Roman"/>
          <w:b/>
          <w:sz w:val="20"/>
        </w:rPr>
        <w:t>(fff)</w:t>
      </w:r>
      <w:r>
        <w:rPr>
          <w:rFonts w:ascii="Times New Roman" w:hAnsi="Times New Roman"/>
          <w:sz w:val="20"/>
        </w:rPr>
        <w:t xml:space="preserve"> “</w:t>
      </w:r>
      <w:r>
        <w:rPr>
          <w:rFonts w:ascii="Times New Roman" w:hAnsi="Times New Roman"/>
          <w:b/>
          <w:i/>
          <w:sz w:val="20"/>
        </w:rPr>
        <w:t>RSU Award</w:t>
      </w:r>
      <w:r>
        <w:rPr>
          <w:rFonts w:ascii="Times New Roman" w:hAnsi="Times New Roman"/>
          <w:sz w:val="20"/>
        </w:rPr>
        <w:t>” or “</w:t>
      </w:r>
      <w:r>
        <w:rPr>
          <w:rFonts w:ascii="Times New Roman" w:hAnsi="Times New Roman"/>
          <w:b/>
          <w:i/>
          <w:sz w:val="20"/>
        </w:rPr>
        <w:t>RSU</w:t>
      </w:r>
      <w:r>
        <w:rPr>
          <w:rFonts w:ascii="Times New Roman" w:hAnsi="Times New Roman"/>
          <w:sz w:val="20"/>
        </w:rPr>
        <w:t xml:space="preserve">” means an Award of restricted stock units representing the right to receive an issuance of shares of Common Stock which is granted pursuant to the terms and conditions of Section 5(a). </w:t>
      </w:r>
    </w:p>
    <w:p>
      <w:pPr>
        <w:pStyle w:val="TextBody"/>
        <w:bidi w:val="0"/>
        <w:spacing w:before="240" w:after="0"/>
        <w:jc w:val="left"/>
        <w:rPr>
          <w:rFonts w:ascii="Times New Roman" w:hAnsi="Times New Roman"/>
          <w:sz w:val="20"/>
        </w:rPr>
      </w:pPr>
      <w:r>
        <w:rPr>
          <w:rFonts w:ascii="Times New Roman" w:hAnsi="Times New Roman"/>
          <w:b/>
          <w:sz w:val="20"/>
        </w:rPr>
        <w:t>(ggg)</w:t>
      </w:r>
      <w:r>
        <w:rPr>
          <w:rFonts w:ascii="Times New Roman" w:hAnsi="Times New Roman"/>
          <w:sz w:val="20"/>
        </w:rPr>
        <w:t xml:space="preserve"> “</w:t>
      </w:r>
      <w:r>
        <w:rPr>
          <w:rFonts w:ascii="Times New Roman" w:hAnsi="Times New Roman"/>
          <w:b/>
          <w:i/>
          <w:sz w:val="20"/>
        </w:rPr>
        <w:t>RSU Award Agreement</w:t>
      </w:r>
      <w:r>
        <w:rPr>
          <w:rFonts w:ascii="Times New Roman" w:hAnsi="Times New Roman"/>
          <w:sz w:val="20"/>
        </w:rPr>
        <w:t xml:space="preserve">” means a written or electronic agreement between the Company and a holder of an RSU Award evidencing the terms and conditions of an RSU Award grant. The RSU Award Agreement includes the Grant Notice for the RSU Award and the agreement containing the written summary of the general terms and conditions applicable to the RSU Award and which is provided, including by electronic means, to a Participant along with the Grant Notice. Each RSU Award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(hhh)</w:t>
      </w:r>
      <w:r>
        <w:rPr>
          <w:rFonts w:ascii="Times New Roman" w:hAnsi="Times New Roman"/>
          <w:sz w:val="20"/>
        </w:rPr>
        <w:t xml:space="preserve"> “</w:t>
      </w:r>
      <w:r>
        <w:rPr>
          <w:rFonts w:ascii="Times New Roman" w:hAnsi="Times New Roman"/>
          <w:b/>
          <w:i/>
          <w:sz w:val="20"/>
        </w:rPr>
        <w:t>Rule 16b-3</w:t>
      </w:r>
      <w:r>
        <w:rPr>
          <w:rFonts w:ascii="Times New Roman" w:hAnsi="Times New Roman"/>
          <w:sz w:val="20"/>
        </w:rPr>
        <w:t xml:space="preserve">” means Rule 16b-3 promulgated under the Exchange Act or any successor to Rule 16b-3, as in effect from time to time.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w:t>
      </w:r>
      <w:r>
        <w:rPr>
          <w:rFonts w:ascii="Times New Roman" w:hAnsi="Times New Roman"/>
          <w:b/>
          <w:i/>
          <w:sz w:val="20"/>
        </w:rPr>
        <w:t>Rule 405</w:t>
      </w:r>
      <w:r>
        <w:rPr>
          <w:rFonts w:ascii="Times New Roman" w:hAnsi="Times New Roman"/>
          <w:sz w:val="20"/>
        </w:rPr>
        <w:t xml:space="preserve">” means Rule 405 promulgated under the Securities Act. </w:t>
      </w:r>
    </w:p>
    <w:p>
      <w:pPr>
        <w:pStyle w:val="TextBody"/>
        <w:bidi w:val="0"/>
        <w:spacing w:before="240" w:after="0"/>
        <w:jc w:val="left"/>
        <w:rPr>
          <w:rFonts w:ascii="Times New Roman" w:hAnsi="Times New Roman"/>
          <w:sz w:val="20"/>
        </w:rPr>
      </w:pPr>
      <w:r>
        <w:rPr>
          <w:rFonts w:ascii="Times New Roman" w:hAnsi="Times New Roman"/>
          <w:b/>
          <w:sz w:val="20"/>
        </w:rPr>
        <w:t>(jjj)</w:t>
      </w:r>
      <w:r>
        <w:rPr>
          <w:rFonts w:ascii="Times New Roman" w:hAnsi="Times New Roman"/>
          <w:sz w:val="20"/>
        </w:rPr>
        <w:t xml:space="preserve"> “</w:t>
      </w:r>
      <w:r>
        <w:rPr>
          <w:rFonts w:ascii="Times New Roman" w:hAnsi="Times New Roman"/>
          <w:b/>
          <w:i/>
          <w:sz w:val="20"/>
        </w:rPr>
        <w:t>Section</w:t>
      </w:r>
      <w:r>
        <w:rPr>
          <w:rFonts w:ascii="Times New Roman" w:hAnsi="Times New Roman"/>
          <w:sz w:val="20"/>
        </w:rPr>
        <w:t> </w:t>
      </w:r>
      <w:r>
        <w:rPr>
          <w:rFonts w:ascii="Times New Roman" w:hAnsi="Times New Roman"/>
          <w:b/>
          <w:i/>
          <w:sz w:val="20"/>
        </w:rPr>
        <w:t>409A</w:t>
      </w:r>
      <w:r>
        <w:rPr>
          <w:rFonts w:ascii="Times New Roman" w:hAnsi="Times New Roman"/>
          <w:sz w:val="20"/>
        </w:rPr>
        <w:t xml:space="preserve">” means Section 409A of the Code and the regulations and other guidance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(kkk)</w:t>
      </w:r>
      <w:r>
        <w:rPr>
          <w:rFonts w:ascii="Times New Roman" w:hAnsi="Times New Roman"/>
          <w:sz w:val="20"/>
        </w:rPr>
        <w:t xml:space="preserve"> “</w:t>
      </w:r>
      <w:r>
        <w:rPr>
          <w:rFonts w:ascii="Times New Roman" w:hAnsi="Times New Roman"/>
          <w:b/>
          <w:i/>
          <w:sz w:val="20"/>
        </w:rPr>
        <w:t>Section</w:t>
      </w:r>
      <w:r>
        <w:rPr>
          <w:rFonts w:ascii="Times New Roman" w:hAnsi="Times New Roman"/>
          <w:sz w:val="20"/>
        </w:rPr>
        <w:t> </w:t>
      </w:r>
      <w:r>
        <w:rPr>
          <w:rFonts w:ascii="Times New Roman" w:hAnsi="Times New Roman"/>
          <w:b/>
          <w:i/>
          <w:sz w:val="20"/>
        </w:rPr>
        <w:t>409A Change in Control</w:t>
      </w:r>
      <w:r>
        <w:rPr>
          <w:rFonts w:ascii="Times New Roman" w:hAnsi="Times New Roman"/>
          <w:sz w:val="20"/>
        </w:rPr>
        <w:t xml:space="preserve">” means a change in the ownership or effective control of the Company, or in the ownership of a substantial portion of the Company’s assets, as provided in Section 409A(a)(2)(A)(v) of the Code and Treasury Regulations Section 1.409A-3(i)(5) (without regard to any alternative definition thereunder). </w:t>
      </w:r>
    </w:p>
    <w:p>
      <w:pPr>
        <w:pStyle w:val="TextBody"/>
        <w:bidi w:val="0"/>
        <w:spacing w:before="240" w:after="0"/>
        <w:jc w:val="left"/>
        <w:rPr>
          <w:rFonts w:ascii="Times New Roman" w:hAnsi="Times New Roman"/>
          <w:sz w:val="20"/>
        </w:rPr>
      </w:pPr>
      <w:r>
        <w:rPr>
          <w:rFonts w:ascii="Times New Roman" w:hAnsi="Times New Roman"/>
          <w:b/>
          <w:sz w:val="20"/>
        </w:rPr>
        <w:t>(lll)</w:t>
      </w:r>
      <w:r>
        <w:rPr>
          <w:rFonts w:ascii="Times New Roman" w:hAnsi="Times New Roman"/>
          <w:sz w:val="20"/>
        </w:rPr>
        <w:t xml:space="preserve"> “</w:t>
      </w:r>
      <w:r>
        <w:rPr>
          <w:rFonts w:ascii="Times New Roman" w:hAnsi="Times New Roman"/>
          <w:b/>
          <w:i/>
          <w:sz w:val="20"/>
        </w:rPr>
        <w:t>Securities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b/>
          <w:sz w:val="20"/>
        </w:rPr>
        <w:t>(mmm)</w:t>
      </w:r>
      <w:r>
        <w:rPr>
          <w:rFonts w:ascii="Times New Roman" w:hAnsi="Times New Roman"/>
          <w:sz w:val="20"/>
        </w:rPr>
        <w:t xml:space="preserve"> “</w:t>
      </w:r>
      <w:r>
        <w:rPr>
          <w:rFonts w:ascii="Times New Roman" w:hAnsi="Times New Roman"/>
          <w:b/>
          <w:i/>
          <w:sz w:val="20"/>
        </w:rPr>
        <w:t>Share Reserve</w:t>
      </w:r>
      <w:r>
        <w:rPr>
          <w:rFonts w:ascii="Times New Roman" w:hAnsi="Times New Roman"/>
          <w:sz w:val="20"/>
        </w:rPr>
        <w:t xml:space="preserve">” means the number of shares available for issuance under the Plan as set forth in Section 2(a). </w:t>
      </w:r>
    </w:p>
    <w:p>
      <w:pPr>
        <w:pStyle w:val="TextBody"/>
        <w:bidi w:val="0"/>
        <w:spacing w:before="240" w:after="0"/>
        <w:jc w:val="left"/>
        <w:rPr>
          <w:rFonts w:ascii="Times New Roman" w:hAnsi="Times New Roman"/>
          <w:sz w:val="20"/>
        </w:rPr>
      </w:pPr>
      <w:r>
        <w:rPr>
          <w:rFonts w:ascii="Times New Roman" w:hAnsi="Times New Roman"/>
          <w:b/>
          <w:sz w:val="20"/>
        </w:rPr>
        <w:t>(nnn)</w:t>
      </w:r>
      <w:r>
        <w:rPr>
          <w:rFonts w:ascii="Times New Roman" w:hAnsi="Times New Roman"/>
          <w:sz w:val="20"/>
        </w:rPr>
        <w:t xml:space="preserve"> “</w:t>
      </w:r>
      <w:r>
        <w:rPr>
          <w:rFonts w:ascii="Times New Roman" w:hAnsi="Times New Roman"/>
          <w:b/>
          <w:i/>
          <w:sz w:val="20"/>
        </w:rPr>
        <w:t>Stock Appreciation Right</w:t>
      </w:r>
      <w:r>
        <w:rPr>
          <w:rFonts w:ascii="Times New Roman" w:hAnsi="Times New Roman"/>
          <w:sz w:val="20"/>
        </w:rPr>
        <w:t>” or “</w:t>
      </w:r>
      <w:r>
        <w:rPr>
          <w:rFonts w:ascii="Times New Roman" w:hAnsi="Times New Roman"/>
          <w:b/>
          <w:i/>
          <w:sz w:val="20"/>
        </w:rPr>
        <w:t>SAR</w:t>
      </w:r>
      <w:r>
        <w:rPr>
          <w:rFonts w:ascii="Times New Roman" w:hAnsi="Times New Roman"/>
          <w:sz w:val="20"/>
        </w:rPr>
        <w:t xml:space="preserve">” means a right to receive the appreciation on Common Stock that is granted pursuant to the terms and conditions of Section 4. </w:t>
      </w:r>
    </w:p>
    <w:p>
      <w:pPr>
        <w:pStyle w:val="TextBody"/>
        <w:bidi w:val="0"/>
        <w:spacing w:before="240" w:after="0"/>
        <w:jc w:val="left"/>
        <w:rPr>
          <w:rFonts w:ascii="Times New Roman" w:hAnsi="Times New Roman"/>
          <w:sz w:val="20"/>
        </w:rPr>
      </w:pPr>
      <w:r>
        <w:rPr>
          <w:rFonts w:ascii="Times New Roman" w:hAnsi="Times New Roman"/>
          <w:b/>
          <w:sz w:val="20"/>
        </w:rPr>
        <w:t>(ooo)</w:t>
      </w:r>
      <w:r>
        <w:rPr>
          <w:rFonts w:ascii="Times New Roman" w:hAnsi="Times New Roman"/>
          <w:sz w:val="20"/>
        </w:rPr>
        <w:t xml:space="preserve"> “</w:t>
      </w:r>
      <w:r>
        <w:rPr>
          <w:rFonts w:ascii="Times New Roman" w:hAnsi="Times New Roman"/>
          <w:b/>
          <w:i/>
          <w:sz w:val="20"/>
        </w:rPr>
        <w:t>SAR Agreement</w:t>
      </w:r>
      <w:r>
        <w:rPr>
          <w:rFonts w:ascii="Times New Roman" w:hAnsi="Times New Roman"/>
          <w:sz w:val="20"/>
        </w:rPr>
        <w:t xml:space="preserve">” means a written or electronic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including by electronic means, to a Participant along with the Grant Notice. Each SAR Agreement will be subject to the terms and conditions of the Plan. </w:t>
      </w:r>
    </w:p>
    <w:p>
      <w:pPr>
        <w:pStyle w:val="TextBody"/>
        <w:bidi w:val="0"/>
        <w:spacing w:before="240" w:after="0"/>
        <w:jc w:val="left"/>
        <w:rPr>
          <w:rFonts w:ascii="Times New Roman" w:hAnsi="Times New Roman"/>
          <w:sz w:val="20"/>
        </w:rPr>
      </w:pPr>
      <w:r>
        <w:rPr>
          <w:rFonts w:ascii="Times New Roman" w:hAnsi="Times New Roman"/>
          <w:b/>
          <w:sz w:val="20"/>
        </w:rPr>
        <w:t>(ppp)</w:t>
      </w:r>
      <w:r>
        <w:rPr>
          <w:rFonts w:ascii="Times New Roman" w:hAnsi="Times New Roman"/>
          <w:sz w:val="20"/>
        </w:rPr>
        <w:t xml:space="preserve"> “</w:t>
      </w:r>
      <w:r>
        <w:rPr>
          <w:rFonts w:ascii="Times New Roman" w:hAnsi="Times New Roman"/>
          <w:b/>
          <w:i/>
          <w:sz w:val="20"/>
        </w:rPr>
        <w:t>Subsidiary</w:t>
      </w:r>
      <w:r>
        <w:rPr>
          <w:rFonts w:ascii="Times New Roman" w:hAnsi="Times New Roman"/>
          <w:sz w:val="20"/>
        </w:rPr>
        <w:t xml:space="preserve">”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 </w:t>
      </w:r>
    </w:p>
    <w:p>
      <w:pPr>
        <w:pStyle w:val="TextBody"/>
        <w:bidi w:val="0"/>
        <w:spacing w:before="240" w:after="0"/>
        <w:jc w:val="left"/>
        <w:rPr>
          <w:rFonts w:ascii="Times New Roman" w:hAnsi="Times New Roman"/>
          <w:sz w:val="20"/>
        </w:rPr>
      </w:pPr>
      <w:r>
        <w:rPr>
          <w:rFonts w:ascii="Times New Roman" w:hAnsi="Times New Roman"/>
          <w:b/>
          <w:sz w:val="20"/>
        </w:rPr>
        <w:t>(qqq)</w:t>
      </w:r>
      <w:r>
        <w:rPr>
          <w:rFonts w:ascii="Times New Roman" w:hAnsi="Times New Roman"/>
          <w:sz w:val="20"/>
        </w:rPr>
        <w:t xml:space="preserve"> “</w:t>
      </w:r>
      <w:r>
        <w:rPr>
          <w:rFonts w:ascii="Times New Roman" w:hAnsi="Times New Roman"/>
          <w:b/>
          <w:i/>
          <w:sz w:val="20"/>
        </w:rPr>
        <w:t>Ten Percent Stockholder</w:t>
      </w:r>
      <w:r>
        <w:rPr>
          <w:rFonts w:ascii="Times New Roman" w:hAnsi="Times New Roman"/>
          <w:sz w:val="20"/>
        </w:rPr>
        <w:t xml:space="preserve">” means a person who Owns (or is deemed to Own pursuant to Section 424(d) of the Code) stock possessing more than 10% of the total combined voting power of all classes of stock of the Company or any Affiliate. </w:t>
      </w:r>
    </w:p>
    <w:p>
      <w:pPr>
        <w:pStyle w:val="TextBody"/>
        <w:bidi w:val="0"/>
        <w:spacing w:before="240" w:after="0"/>
        <w:jc w:val="left"/>
        <w:rPr>
          <w:rFonts w:ascii="Times New Roman" w:hAnsi="Times New Roman"/>
          <w:sz w:val="20"/>
        </w:rPr>
      </w:pPr>
      <w:r>
        <w:rPr>
          <w:rFonts w:ascii="Times New Roman" w:hAnsi="Times New Roman"/>
          <w:b/>
          <w:sz w:val="20"/>
        </w:rPr>
        <w:t>(rrr)</w:t>
      </w:r>
      <w:r>
        <w:rPr>
          <w:rFonts w:ascii="Times New Roman" w:hAnsi="Times New Roman"/>
          <w:sz w:val="20"/>
        </w:rPr>
        <w:t xml:space="preserve"> “</w:t>
      </w:r>
      <w:r>
        <w:rPr>
          <w:rFonts w:ascii="Times New Roman" w:hAnsi="Times New Roman"/>
          <w:b/>
          <w:i/>
          <w:sz w:val="20"/>
        </w:rPr>
        <w:t>Trading Policy</w:t>
      </w:r>
      <w:r>
        <w:rPr>
          <w:rFonts w:ascii="Times New Roman" w:hAnsi="Times New Roman"/>
          <w:sz w:val="20"/>
        </w:rPr>
        <w:t xml:space="preserve">” means the Company’s policy permitting certain individuals to sell Company shares only during certain “window” periods and/or otherwise restricts the ability of certain individuals to transfer or encumber Company shares, as in effect from time to time. </w:t>
      </w:r>
    </w:p>
    <w:p>
      <w:pPr>
        <w:pStyle w:val="TextBody"/>
        <w:bidi w:val="0"/>
        <w:spacing w:before="240" w:after="0"/>
        <w:jc w:val="left"/>
        <w:rPr>
          <w:rFonts w:ascii="Times New Roman" w:hAnsi="Times New Roman"/>
          <w:sz w:val="20"/>
        </w:rPr>
      </w:pPr>
      <w:r>
        <w:rPr>
          <w:rFonts w:ascii="Times New Roman" w:hAnsi="Times New Roman"/>
          <w:b/>
          <w:sz w:val="20"/>
        </w:rPr>
        <w:t>(sss)</w:t>
      </w:r>
      <w:r>
        <w:rPr>
          <w:rFonts w:ascii="Times New Roman" w:hAnsi="Times New Roman"/>
          <w:sz w:val="20"/>
        </w:rPr>
        <w:t xml:space="preserve"> “</w:t>
      </w:r>
      <w:r>
        <w:rPr>
          <w:rFonts w:ascii="Times New Roman" w:hAnsi="Times New Roman"/>
          <w:b/>
          <w:i/>
          <w:sz w:val="20"/>
        </w:rPr>
        <w:t>Unvested Non-Exempt Award</w:t>
      </w:r>
      <w:r>
        <w:rPr>
          <w:rFonts w:ascii="Times New Roman" w:hAnsi="Times New Roman"/>
          <w:sz w:val="20"/>
        </w:rPr>
        <w:t xml:space="preserve">” means the portion of any Non-Exempt Award that had not vested in accordance with its terms upon or prior to the date of any Corporate Transaction. </w:t>
      </w:r>
    </w:p>
    <w:p>
      <w:pPr>
        <w:pStyle w:val="TextBody"/>
        <w:bidi w:val="0"/>
        <w:spacing w:before="240" w:after="0"/>
        <w:jc w:val="left"/>
        <w:rPr>
          <w:rFonts w:ascii="Times New Roman" w:hAnsi="Times New Roman"/>
          <w:sz w:val="20"/>
        </w:rPr>
      </w:pPr>
      <w:r>
        <w:rPr>
          <w:rFonts w:ascii="Times New Roman" w:hAnsi="Times New Roman"/>
          <w:b/>
          <w:sz w:val="20"/>
        </w:rPr>
        <w:t>(ttt)</w:t>
      </w:r>
      <w:r>
        <w:rPr>
          <w:rFonts w:ascii="Times New Roman" w:hAnsi="Times New Roman"/>
          <w:sz w:val="20"/>
        </w:rPr>
        <w:t xml:space="preserve"> “</w:t>
      </w:r>
      <w:r>
        <w:rPr>
          <w:rFonts w:ascii="Times New Roman" w:hAnsi="Times New Roman"/>
          <w:b/>
          <w:i/>
          <w:sz w:val="20"/>
        </w:rPr>
        <w:t>Vested Non-Exempt Award</w:t>
      </w:r>
      <w:r>
        <w:rPr>
          <w:rFonts w:ascii="Times New Roman" w:hAnsi="Times New Roman"/>
          <w:sz w:val="20"/>
        </w:rPr>
        <w:t xml:space="preserve">” means the portion of any Non-Exempt Award that had vested in accordance with its terms upon or prior to the date of a Corporate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18984</Words>
  <Characters>98379</Characters>
  <CharactersWithSpaces>117389</CharactersWithSpaces>
  <Paragraphs>525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