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lym-20260630.htm"/>
      <w:bookmarkStart w:id="1" w:name="ksclym20260630"/>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001-40708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CLIMB 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83-2273741</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20 William Street</w:t>
            </w:r>
          </w:p>
          <w:p>
            <w:pPr>
              <w:pStyle w:val="TableContents"/>
              <w:bidi w:val="0"/>
              <w:jc w:val="center"/>
              <w:rPr>
                <w:rFonts w:ascii="Times New Roman" w:hAnsi="Times New Roman"/>
                <w:b/>
                <w:color w:val="000000"/>
                <w:sz w:val="18"/>
              </w:rPr>
            </w:pPr>
            <w:r>
              <w:rPr>
                <w:rFonts w:ascii="Times New Roman" w:hAnsi="Times New Roman"/>
                <w:b/>
                <w:color w:val="000000"/>
                <w:sz w:val="18"/>
              </w:rPr>
              <w:t>Suite 145</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Wellesley Hills,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02481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(866)-857-2596</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305" w:type="dxa"/>
        <w:jc w:val="left"/>
        <w:tblInd w:w="0" w:type="dxa"/>
        <w:tblLayout w:type="fixed"/>
        <w:tblCellMar>
          <w:top w:w="28" w:type="dxa"/>
          <w:left w:w="28" w:type="dxa"/>
          <w:bottom w:w="28" w:type="dxa"/>
          <w:right w:w="28" w:type="dxa"/>
        </w:tblCellMar>
      </w:tblPr>
      <w:tblGrid>
        <w:gridCol w:w="3871"/>
        <w:gridCol w:w="146"/>
        <w:gridCol w:w="826"/>
        <w:gridCol w:w="146"/>
        <w:gridCol w:w="331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CLYM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The Nasdaq Stock Market LLC</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31, 2026, the registrant had 57,436,255</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142" w:type="dxa"/>
        <w:jc w:val="left"/>
        <w:tblInd w:w="0" w:type="dxa"/>
        <w:tblLayout w:type="fixed"/>
        <w:tblCellMar>
          <w:top w:w="28" w:type="dxa"/>
          <w:left w:w="28" w:type="dxa"/>
          <w:bottom w:w="28" w:type="dxa"/>
          <w:right w:w="28" w:type="dxa"/>
        </w:tblCellMar>
      </w:tblPr>
      <w:tblGrid>
        <w:gridCol w:w="886"/>
        <w:gridCol w:w="7366"/>
        <w:gridCol w:w="890"/>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Condensed Consolidated Financial Statements (unaudited)</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balance_sheets">
              <w:r>
                <w:rPr>
                  <w:rStyle w:val="InternetLink"/>
                  <w:rFonts w:ascii="Times New Roman" w:hAnsi="Times New Roman"/>
                  <w:color w:val="0000FF"/>
                  <w:sz w:val="20"/>
                  <w:u w:val="single"/>
                </w:rPr>
                <w:t>Condensed Consolidated Balance Sheets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ind w:left="0" w:right="0" w:firstLine="634"/>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634"/>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ind w:left="0" w:right="0" w:firstLine="634"/>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atements_stock_and_stockholder_deficit">
              <w:r>
                <w:rPr>
                  <w:rStyle w:val="InternetLink"/>
                  <w:rFonts w:ascii="Times New Roman" w:hAnsi="Times New Roman"/>
                  <w:color w:val="0000FF"/>
                  <w:sz w:val="20"/>
                  <w:u w:val="single"/>
                </w:rPr>
                <w:t>Condensed Consolidated Statements of Stockholders’ Equity (Deficit)</w:t>
              </w:r>
            </w:hyperlink>
            <w:hyperlink w:anchor="statements_stock_and_stockholder_deficit">
              <w:r>
                <w:rPr>
                  <w:rStyle w:val="InternetLink"/>
                  <w:rFonts w:ascii="Times New Roman" w:hAnsi="Times New Roman"/>
                  <w:color w:val="0000FF"/>
                  <w:sz w:val="20"/>
                </w:rPr>
                <w:t xml:space="preserve"> </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ind w:left="0" w:right="0" w:firstLine="634"/>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634"/>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ind w:left="0" w:right="0" w:firstLine="634"/>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634"/>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Consolidated Financial Statements</w:t>
              </w:r>
            </w:hyperlink>
            <w:r>
              <w:rPr>
                <w:rFonts w:ascii="Times New Roman" w:hAnsi="Times New Roman"/>
                <w:color w:val="000000"/>
                <w:sz w:val="20"/>
              </w:rPr>
              <w:t xml:space="preserve">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quantitative_and_qualitative">
              <w:r>
                <w:rPr>
                  <w:rStyle w:val="InternetLink"/>
                  <w:rFonts w:ascii="Times New Roman" w:hAnsi="Times New Roman"/>
                  <w:color w:val="0000FF"/>
                  <w:sz w:val="20"/>
                  <w:u w:val="single"/>
                </w:rPr>
                <w:t>Quantitative and Qualitative Disclosures About Market Risk</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the U.S. Private Securities Litigation Reform Act of 1995, Section 27A of the Securities Act of 1933, as amended (Securities Act), and Section 21E of the Securities Exchange Act of 1934, as amended (Exchange Act), that involve substantial risk and uncertainties. All statements, other than statements of historical fact, contained in this Quarterly Report, including statements regarding our strategy, future operations, future financial position, future revenue, projected costs, prospects, plans, objectives of management and expected market growth, are forward-looking statements. The words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w:t>
      </w:r>
    </w:p>
    <w:p>
      <w:pPr>
        <w:pStyle w:val="TextBody"/>
        <w:bidi w:val="0"/>
        <w:jc w:val="left"/>
        <w:rPr>
          <w:rFonts w:ascii="Times New Roman" w:hAnsi="Times New Roman"/>
          <w:color w:val="000000"/>
          <w:sz w:val="20"/>
        </w:rPr>
      </w:pPr>
      <w:r>
        <w:rPr>
          <w:rFonts w:ascii="Times New Roman" w:hAnsi="Times New Roman"/>
          <w:color w:val="000000"/>
          <w:sz w:val="20"/>
        </w:rPr>
        <w:t>The forward-looking statements in this Quarterly Report include, among other things,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and our partners’ research and development programs,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timing of the submission and clearance of investigational new drug applications (IND) and comparable foreign applications for budoprutug and CLYM116;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the potential patient populations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need for additional financing and the period over which we believe our cash, cash equivalents and marketable securities, including the proceeds from our private placement in April 2026, will be sufficient to fund our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develop and, if approved, subsequently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submit applications for, and obtain and maintain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intellectual property position and our expectations regarding our ability to obtain, maintain and enforce intellectual property protection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the size of the potential markets for our product candidates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 expectations regarding developments and projections relating to our competitors and any competing products that are or might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of, and our ability to satisfy our obligations under, our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enter into future collaborations, strategic alliances, or option and license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of 2012 (JOBS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this Quarterly Report particularly in the “Risk Factor Summary” below and in Part II, Item 1A,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herein and have filed or incorporated by reference hereto completely and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is subject to numerous risks and uncertainties, including those risks discussed in further detail below. These risks include, among others, the following:</w:t>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have incurred significant losses since our inception and expect to continue incurring substantial losses for the foreseeable future.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access capital when needed and on acceptable terms, we may be forced to delay, reduce, or discontinue our product candidate development programs, commercialization efforts, or other operations.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currently have no source of product revenue and may never become profitable.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success is dependent on the regulatory approval and commercialization of our product candidates, and if we are unable to successfully develop and commercialize our product candidates, or experience any delay in doing so, our business could be materially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Preliminary, initial, or interim results from clinical trials that we announce, present, or publish from time to time may change as more data and information become available (or are updated based upon audit, validation and verification procedures of the data/information commonly performed for clinical trials) that could result in material changes in the final trial results.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Nonclinical and clinical development involves a lengthy, complex, and expensive process, which is uncertain and may not predict final outcomes, and our product candidates may not demonstrate safety or efficacy in later-stage trials or satisfy regulatory requirements. Further, clinical development in immunology and autoimmune diseases presents inherent challenges, such as disease heterogeneity, variable clinical course, and evolving regulatory expectations for clinically meaningful endpoints, any of which may delay or impair our ability to obtain regulatory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encounter difficulties enrolling or retaining patients in our clinical trials, our clinical development activities could be delayed or otherwise adversely affected.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face significant competition in an environment of rapid technological change, and our competitors may develop or obtain regulatory approval for products before us or develop products that are safer, less expensive, or more effective than our product candidates, which could impair our commercial prospects.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estimates of market opportunity and forecasts of market growth for our product candidates may prove to be inaccurate, and even if the markets in which we compete achieve the forecasted growth, our business may not grow at similar rates, or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have been, and may in the future become, involved in litigation that could result in significant costs, divert the attention of management and harm our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Enacted and future legislation may increase the difficulty and cost for us to obtain marketing approval and commercialize our product candidates, if and when approved, and may affect the prices we may charge for such product candidates, if and when approved.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Disruptions in our supply chain or manufacturing, including reliance on single-source suppliers and the complexities of biologics manufacturing, could delay, prevent, or impair our development or commercialization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obtain, maintain, or enforce adequate intellectual property protection, our competitive position could be harmed, and we rely heavily on certain in-licensed patents and other intellectual property rights in connection with our development of our product candidates and may be required to acquire or license additional patents or other intellectual property rights to continue to develop and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 respect to budoprutug, we own two pending U.S. provisional applications, nine pending U.S. nonprovisional patent applications, three pending Patent Cooperation Treaty international patent applications (each, a PCT application), and eight pending ex-U.S. patent applications, and we have also exclusively licensed four issued U.S. patents and at least 45 ex-U.S. patents or patent applications under our license agreement (the CRH Agreement) with Cancer Research Technology Limited (CRH). With respect to CLYM116, we have one exclusively in-licensed PCT application under the Mabworks Agreement and co-own five pending U.S. provisional patent applications with Mabworks Biotech Co., Ltd. (Mabworks). We can provide no assurance that any of our current or future patent applications will result in issued patents. If we are unable to obtain, maintain and protect sufficient patent and other intellectual property rights for our product candidates and technology, or if the scope of patent and other intellectual property rights obtained is not sufficiently broad, we may not be able to compete effectively in our market.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our information technology systems or data, or those of third parties upon which we rely, such as contract research organizations (CROs), are or were compromised or interrupted, we could experience adverse consequences resulting from such compromise or interruption,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able to attract or retain key personnel necessary to execute our business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trading price of our common stock has been and may continue to be volatile, and purchasers of our common stock could incur substantial losses.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identified material weaknesses in our internal control over financial reporting; if we are unable to remediate these material weaknesses,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financial_information"/>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Condensed Consolidated Financial Statements (unaudited)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Climb Bio, Inc.</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12"/>
        <w:gridCol w:w="746"/>
        <w:gridCol w:w="211"/>
        <w:gridCol w:w="841"/>
        <w:gridCol w:w="166"/>
        <w:gridCol w:w="146"/>
        <w:gridCol w:w="218"/>
        <w:gridCol w:w="872"/>
        <w:gridCol w:w="793"/>
      </w:tblGrid>
      <w:tr>
        <w:trPr/>
        <w:tc>
          <w:tcPr>
            <w:tcW w:w="621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167,744</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$0.0001 par value; 250,000,000 shares authorized; 57,436,255</w:t>
              <w:br/>
              <w:t>  and 47,766,338 shares issued and outstanding at June 30, 2026 and</w:t>
              <w:br/>
              <w:t>  December 31, 2025, respectively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449,762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(289,727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167,744</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Climb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statements_of_operation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76,154,071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67,585,121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72,202,645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67,524,124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Climb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statements_stock_and_stockholder_deficit"/>
      <w:bookmarkEnd w:id="6"/>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34"/>
        <w:gridCol w:w="146"/>
        <w:gridCol w:w="146"/>
        <w:gridCol w:w="916"/>
        <w:gridCol w:w="146"/>
        <w:gridCol w:w="146"/>
        <w:gridCol w:w="228"/>
        <w:gridCol w:w="403"/>
        <w:gridCol w:w="146"/>
        <w:gridCol w:w="146"/>
        <w:gridCol w:w="196"/>
        <w:gridCol w:w="691"/>
        <w:gridCol w:w="146"/>
        <w:gridCol w:w="146"/>
        <w:gridCol w:w="339"/>
        <w:gridCol w:w="757"/>
        <w:gridCol w:w="166"/>
        <w:gridCol w:w="146"/>
        <w:gridCol w:w="196"/>
        <w:gridCol w:w="751"/>
        <w:gridCol w:w="166"/>
        <w:gridCol w:w="146"/>
        <w:gridCol w:w="218"/>
        <w:gridCol w:w="771"/>
        <w:gridCol w:w="213"/>
      </w:tblGrid>
      <w:tr>
        <w:trPr/>
        <w:tc>
          <w:tcPr>
            <w:tcW w:w="2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47,766,338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160,475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47,768,543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148,085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and pre-funded warrants in private placement,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equity incentive plans related to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57,436,255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239,547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70"/>
        <w:gridCol w:w="146"/>
        <w:gridCol w:w="146"/>
        <w:gridCol w:w="916"/>
        <w:gridCol w:w="146"/>
        <w:gridCol w:w="146"/>
        <w:gridCol w:w="228"/>
        <w:gridCol w:w="403"/>
        <w:gridCol w:w="146"/>
        <w:gridCol w:w="146"/>
        <w:gridCol w:w="196"/>
        <w:gridCol w:w="691"/>
        <w:gridCol w:w="146"/>
        <w:gridCol w:w="146"/>
        <w:gridCol w:w="375"/>
        <w:gridCol w:w="721"/>
        <w:gridCol w:w="146"/>
        <w:gridCol w:w="146"/>
        <w:gridCol w:w="196"/>
        <w:gridCol w:w="751"/>
        <w:gridCol w:w="166"/>
        <w:gridCol w:w="146"/>
        <w:gridCol w:w="236"/>
        <w:gridCol w:w="837"/>
        <w:gridCol w:w="213"/>
      </w:tblGrid>
      <w:tr>
        <w:trPr/>
        <w:tc>
          <w:tcPr>
            <w:tcW w:w="2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67,255,434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211,881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67,575,767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193,385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67,764,100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185,764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Climb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of_cash_flows"/>
      <w:bookmarkEnd w:id="7"/>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7"/>
        <w:gridCol w:w="146"/>
        <w:gridCol w:w="211"/>
        <w:gridCol w:w="841"/>
        <w:gridCol w:w="166"/>
        <w:gridCol w:w="146"/>
        <w:gridCol w:w="211"/>
        <w:gridCol w:w="736"/>
        <w:gridCol w:w="711"/>
      </w:tblGrid>
      <w:tr>
        <w:trPr/>
        <w:tc>
          <w:tcPr>
            <w:tcW w:w="7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(29,447</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Accretion of discounts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Unrealized foreign currency transaction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issuance of common stock and pre-funded warrants in private placement,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(64,547</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22,682</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for leases included in operating cash outflows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property and equipment included in accounts payable and accrued</w:t>
              <w:br/>
              <w:t>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Right-of-use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Decrease in lease liabilities due to reduction in right-of-use assets from lease modifications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offering costs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 (included in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22,682</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Climb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Nature of Operations and Basis of Presentation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Climb Bio, Inc. (the Company) is a clinical-stage biotechnology company developing therapeutics for patients with immune-mediated diseases. The Company’s pipeline includes budoprutug and CLYM116. Budoprutug is an anti-CD19 monoclonal antibody designed to treat a broad range of B-cell mediated diseases. The Company is currently developing budoprutug for the treatment of primary membranous nephropathy, immune thrombocytopenia, and systemic lupus erythematosus. CLYM116 is an anti-APRIL (A PRoliferation-Inducing Ligand) monoclonal antibody currently being developed for the treatment of immunoglobulin A nephropathy. The Company was incorporated on October 18, 2018 in Delaware, and its corporate headquarters is in Massachusetts.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reliance on single-source suppliers and manufacturers, availability of raw materials, patentability of the Company’s product candidates and processes and clinical efficacy and safety of the Company’s product candidates, compliance with government regulations and the need to obtain additional financing to fund operations. Budoprutug, CLYM116, or any product candidate the Company may develop will require significant additional research and development efforts, including extensive nonclinical studies, clinical trials, and regulatory approval, prior to commercialization. These efforts will require significant amounts of additional capital, adequate personnel infrastructure and extensive compliance and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can be no assurance that any future research and development will be successfully completed, that adequate protection for the Company’s intellectual property will be obtained or maintained, that any product candidate developed will obtain necessary government regulatory approval or that any approved products will be commercially viable. Even if any future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reflect the operations of the Company and its wholly owned subsidiaries. Intercompany transactions and balances have been eliminated in consolidation. The accompanying unaudited interim condensed consolidated financial statements have been prepared in conformity with accounting principles generally accepted in the United States (U.S. GAAP) and in accordance with the rules and regulations of the U.S. Securities and Exchange Commission (SEC) for Quarterly Reports on Form 10-Q. Any reference in these notes to applicable guidance is meant to refer to the authoritative U.S. GAAP as found in the Accounting Standards Codification (ASC) and Accounting Standards Update (ASU) of the Financial Accounting Standards Board (FASB).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as of June 30, 2026 and for the three and six months ended June 30, 2026 and 2025, are unaudited. The consolidated balance sheet as of December 31, 2025 was derived from the audited financial statements as of and for the year ended December 31, 2025, but does not include all disclosures required by U.S. GAAP. The unaudited interim condensed consolidated financial statements have been prepared on a basis consistent with the audited annual financial statements as of and for the year ended December 31, 2025, and, in the opinion of management, reflect all adjustments, consisting solely of normal recurring adjustments, necessary for the fair statement of the Company’s financial position as of June 30, 2026, the condensed results of its operations for the three and six months ended June 30, 2026 and 2025, and its cash flows for the six months ended June 30, 2026 and 2025. The financial data and other information disclosed in these notes related to the three and six months ended June 30, 2026 and 2025 are also unaudited. The condensed results of operations for the three and six months ended June 30, 2026 are not necessarily indicative of the results to be expected for the full year ending December 31, 2026 or any other period. These unaudited interim condensed consolidated financial statements should be read in conjunction with the Company’s audited consolidated financial statements included in the Company’s Annual Report on Form 10-K filed with the SEC on March 5, 2026 (Annual Report).</w:t>
      </w:r>
    </w:p>
    <w:p>
      <w:pPr>
        <w:pStyle w:val="TextBody"/>
        <w:bidi w:val="0"/>
        <w:spacing w:before="0" w:after="120"/>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inception, the Company has experienced recurring losses from operations and generated negative cash flows from operations. During the three and six months ended June 30, 2026, the Company incurred a net loss of $13.5 million and $27.2 million, respectively, and for the six months ended June 30, 2026, the Company had negative operating cash flows of $24.9 million. The Company has an accumulated deficit of $316.9 million as of June 30, 2026 and expects to incur additional losses from operations in the future until such time, if ever, that the Company can generate significant sales of its product candidates currently in development.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inception, the Company has funded its operations with proceeds from the sale and issuance of shares of its redeemable convertible preferred stock, its initial public offering, and the sale and issuance of shares in private placements of shares of the Company’s common stock and pre-funded warrants to certain institutional investors. Cash, cash equivalents and marketable securities were $239.2 million as of June 30, 2026. Based on its current operating plan, the Company expects this balance will be sufficient to meet its projected operating requirements for at least the next twelve months from the filing date of these unaudited condensed consolidated financial statements. The Company anticipates that it will need to raise substantial financing in the future to fund its operations. The Company may finance future cash needs through the sale of equity, debt financings or other capital sources, which could include income from collaborations, strategic partnerships or other strategic arrangements. There are no assurances that the Company will be able to raise sufficient amounts of funding in the future on acceptable terms, or at all.</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after the enactment of the JOBS Act until those standards apply to private companies. The Company has elected to avail itself of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condensed consolidated financial statements may not be comparable to companies that comply with the new or revised accounting pronouncements as of public company effective dates.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For additional information related to the Company’s other significant accounting policies, refer to Note 2, </w:t>
      </w:r>
      <w:r>
        <w:rPr>
          <w:rFonts w:ascii="Times New Roman" w:hAnsi="Times New Roman"/>
          <w:i/>
          <w:color w:val="000000"/>
          <w:sz w:val="20"/>
        </w:rPr>
        <w:t>Summary of Significant Accounting Policies</w:t>
      </w:r>
      <w:r>
        <w:rPr>
          <w:rFonts w:ascii="Times New Roman" w:hAnsi="Times New Roman"/>
          <w:color w:val="000000"/>
          <w:sz w:val="20"/>
        </w:rPr>
        <w:t>, to the Company’s audited consolidated financial statements included in the Company’s Annual Report.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preparation of unaudited condensed consolidated financial statements in conformity with U.S. GAAP requires management to make estimates and assumptions that affect reported amounts and disclosures. Accordingly, actual results could differ from those estimates. Key management estimates include those related to the accrual of research and development expenses and the valuation of stock-based awards. The Company evaluates its estimates and assumptions on an ongoing basis using historical experience and other factors and adjusts those estimates and assumptions when facts and circumstances dictate.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connection with the Company amending its lease agreement for its headquarters in Wellesley Hills, MA, in May 2026, the Company was required to provide a security deposit in the form of a letter of credit. The Company has classified this restricted cash in other long-term assets within its condensed consolidated balance sheets as of June 30, 2026. There was no restricted cash as of December 31, 2025.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December 2023, the FASB issued ASU No. 2023-09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among other things, the following for public business entities: (i) enhanced disclosures of specific categories of reconciling items included in the rate reconciliation, as well as additional information for any of these items meeting certain qualitative and quantitative thresholds; (ii) disclosure of the nature, effect and underlying causes of each individual reconciling item disclosed in the rate reconciliation and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effective date of this update for non-public companies is for fiscal years beginning after December 15, 2025; early adoption is permitted. As the Company qualified for emerging growth company status when ASU 2023-09 was effective for public companies, the Company has elected to adopt this standard as of the effective date for a non-public company. The Company expects ASU 2023-09 to require additional disclosures in the notes to its consolidated financial statements.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November 2024, the FASB issued ASU 2024-03 (ASU 2024-03), </w:t>
      </w:r>
      <w:r>
        <w:rPr>
          <w:rFonts w:ascii="Times New Roman" w:hAnsi="Times New Roman"/>
          <w:i/>
          <w:color w:val="000000"/>
          <w:sz w:val="20"/>
        </w:rPr>
        <w:t>Disaggregation of Income Statement Expenses</w:t>
      </w:r>
      <w:r>
        <w:rPr>
          <w:rFonts w:ascii="Times New Roman" w:hAnsi="Times New Roman"/>
          <w:color w:val="000000"/>
          <w:sz w:val="20"/>
        </w:rPr>
        <w:t>, which requires additional disclosures about specific types of expenses included in the expense captions presented on the face of the income statement, as well as disclosures about selling expenses. The provisions of ASU 2024-03 are effective for public business entities for fiscal years beginning after December 15, 2026, and interim periods beginning after December 15, 2027. Early adoption is permitted. The guidance is to be applied prospectively, with the option for retrospective application. The Company is currently evaluating the impact of ASU 2024-03 on its consolidated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its consolidated financial statements.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Marketable securities consisted of available-for-sale securities as follows (in thousands):</w:t>
      </w:r>
    </w:p>
    <w:tbl>
      <w:tblPr>
        <w:tblW w:w="9110" w:type="dxa"/>
        <w:jc w:val="left"/>
        <w:tblInd w:w="0" w:type="dxa"/>
        <w:tblLayout w:type="fixed"/>
        <w:tblCellMar>
          <w:top w:w="28" w:type="dxa"/>
          <w:left w:w="28" w:type="dxa"/>
          <w:bottom w:w="28" w:type="dxa"/>
          <w:right w:w="28" w:type="dxa"/>
        </w:tblCellMar>
      </w:tblPr>
      <w:tblGrid>
        <w:gridCol w:w="3581"/>
        <w:gridCol w:w="286"/>
        <w:gridCol w:w="211"/>
        <w:gridCol w:w="781"/>
        <w:gridCol w:w="146"/>
        <w:gridCol w:w="146"/>
        <w:gridCol w:w="335"/>
        <w:gridCol w:w="551"/>
        <w:gridCol w:w="146"/>
        <w:gridCol w:w="146"/>
        <w:gridCol w:w="318"/>
        <w:gridCol w:w="568"/>
        <w:gridCol w:w="166"/>
        <w:gridCol w:w="146"/>
        <w:gridCol w:w="211"/>
        <w:gridCol w:w="781"/>
        <w:gridCol w:w="591"/>
      </w:tblGrid>
      <w:tr>
        <w:trPr/>
        <w:tc>
          <w:tcPr>
            <w:tcW w:w="35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marketable securities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8880" w:type="dxa"/>
        <w:jc w:val="left"/>
        <w:tblInd w:w="0" w:type="dxa"/>
        <w:tblLayout w:type="fixed"/>
        <w:tblCellMar>
          <w:top w:w="28" w:type="dxa"/>
          <w:left w:w="28" w:type="dxa"/>
          <w:bottom w:w="28" w:type="dxa"/>
          <w:right w:w="28" w:type="dxa"/>
        </w:tblCellMar>
      </w:tblPr>
      <w:tblGrid>
        <w:gridCol w:w="3581"/>
        <w:gridCol w:w="286"/>
        <w:gridCol w:w="211"/>
        <w:gridCol w:w="676"/>
        <w:gridCol w:w="146"/>
        <w:gridCol w:w="146"/>
        <w:gridCol w:w="295"/>
        <w:gridCol w:w="591"/>
        <w:gridCol w:w="146"/>
        <w:gridCol w:w="146"/>
        <w:gridCol w:w="335"/>
        <w:gridCol w:w="551"/>
        <w:gridCol w:w="146"/>
        <w:gridCol w:w="146"/>
        <w:gridCol w:w="211"/>
        <w:gridCol w:w="676"/>
        <w:gridCol w:w="591"/>
      </w:tblGrid>
      <w:tr>
        <w:trPr/>
        <w:tc>
          <w:tcPr>
            <w:tcW w:w="35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marketable securities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had no realized gains or losses recognized on the sale or maturity of marketable securities during the three and six months ended June 30, 2026 and 2025. To date, the Company has not recognized any allowances for credit losses or impairments in relation to its available-for-sale marketable securities as these marketable securities are comprised of high credit quality, investment grade securities that the Company does not intend or expect to be required to sell prior to their anticipated recovery, and any decline in fair value of these securities is attributable to factors other than credit losses. All marketable securities with unrealized losses presented in the previous tables have been in a continuous unrealized loss position for less than 12 months or the loss is not material. The Company determined credit losses related to marketable securities were immaterial for the three and six months ended June 30, 2026 and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the Company’s long-term marketable securities have contractual maturity dates between one and two years.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and indicate the level of the fair value hierarchy utilized to determine such fair values (in thousands):</w:t>
      </w:r>
    </w:p>
    <w:tbl>
      <w:tblPr>
        <w:tblW w:w="8730" w:type="dxa"/>
        <w:jc w:val="left"/>
        <w:tblInd w:w="0" w:type="dxa"/>
        <w:tblLayout w:type="fixed"/>
        <w:tblCellMar>
          <w:top w:w="28" w:type="dxa"/>
          <w:left w:w="28" w:type="dxa"/>
          <w:bottom w:w="28" w:type="dxa"/>
          <w:right w:w="28" w:type="dxa"/>
        </w:tblCellMar>
      </w:tblPr>
      <w:tblGrid>
        <w:gridCol w:w="3416"/>
        <w:gridCol w:w="246"/>
        <w:gridCol w:w="211"/>
        <w:gridCol w:w="781"/>
        <w:gridCol w:w="146"/>
        <w:gridCol w:w="146"/>
        <w:gridCol w:w="211"/>
        <w:gridCol w:w="676"/>
        <w:gridCol w:w="146"/>
        <w:gridCol w:w="146"/>
        <w:gridCol w:w="239"/>
        <w:gridCol w:w="391"/>
        <w:gridCol w:w="146"/>
        <w:gridCol w:w="146"/>
        <w:gridCol w:w="211"/>
        <w:gridCol w:w="781"/>
        <w:gridCol w:w="691"/>
      </w:tblGrid>
      <w:tr>
        <w:trPr/>
        <w:tc>
          <w:tcPr>
            <w:tcW w:w="34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June 30, 2026 Using:</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110,184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debt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195,114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237,255</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8625" w:type="dxa"/>
        <w:jc w:val="left"/>
        <w:tblInd w:w="0" w:type="dxa"/>
        <w:tblLayout w:type="fixed"/>
        <w:tblCellMar>
          <w:top w:w="28" w:type="dxa"/>
          <w:left w:w="28" w:type="dxa"/>
          <w:bottom w:w="28" w:type="dxa"/>
          <w:right w:w="28" w:type="dxa"/>
        </w:tblCellMar>
      </w:tblPr>
      <w:tblGrid>
        <w:gridCol w:w="3416"/>
        <w:gridCol w:w="246"/>
        <w:gridCol w:w="211"/>
        <w:gridCol w:w="676"/>
        <w:gridCol w:w="146"/>
        <w:gridCol w:w="146"/>
        <w:gridCol w:w="211"/>
        <w:gridCol w:w="676"/>
        <w:gridCol w:w="146"/>
        <w:gridCol w:w="146"/>
        <w:gridCol w:w="239"/>
        <w:gridCol w:w="391"/>
        <w:gridCol w:w="146"/>
        <w:gridCol w:w="146"/>
        <w:gridCol w:w="211"/>
        <w:gridCol w:w="781"/>
        <w:gridCol w:w="691"/>
      </w:tblGrid>
      <w:tr>
        <w:trPr/>
        <w:tc>
          <w:tcPr>
            <w:tcW w:w="34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 Using:</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debt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160,287</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Cash equivalents and U.S. Treasury securities were valued by the Company based on quoted market prices for identical securities, which represent a Level 1 measurement within the fair value hierarchy. There have been no changes in valuation techniques, inputs utilized or transfers between fair measurement levels in the periods presented. Corporate bonds and agency securities were valued by the Company using quoted prices in active markets for similar securities, which represent a Level 2 measurement within the fair value hierarchy. The carrying amounts reflected in the Company’s condensed consolidated balance sheets for cash and cash equivalents, prepaid expenses and other current assets, accounts payable, accrued expenses and other current liabilities approximate fair value due to the short-term nature of these assets and liabilities.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Accrued Expenses and Other Current Liabilities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147" w:type="dxa"/>
        <w:jc w:val="left"/>
        <w:tblInd w:w="0" w:type="dxa"/>
        <w:tblLayout w:type="fixed"/>
        <w:tblCellMar>
          <w:top w:w="28" w:type="dxa"/>
          <w:left w:w="28" w:type="dxa"/>
          <w:bottom w:w="28" w:type="dxa"/>
          <w:right w:w="28" w:type="dxa"/>
        </w:tblCellMar>
      </w:tblPr>
      <w:tblGrid>
        <w:gridCol w:w="4441"/>
        <w:gridCol w:w="246"/>
        <w:gridCol w:w="211"/>
        <w:gridCol w:w="571"/>
        <w:gridCol w:w="146"/>
        <w:gridCol w:w="146"/>
        <w:gridCol w:w="294"/>
        <w:gridCol w:w="801"/>
        <w:gridCol w:w="291"/>
      </w:tblGrid>
      <w:tr>
        <w:trPr/>
        <w:tc>
          <w:tcPr>
            <w:tcW w:w="44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 and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leases office space for their headquarters under a non-cancelable operating lease in Wellesley, Massachusetts. In May 2026, the Company entered into the Second Amendment of Lease (Second Amendment) which provided for an extended lease term of an additional three years and additional square footage. The new annual base rent is approximately $0.6 million per year and there is no option to extend the lease after the three-year term. Accordingly, the Company recorded an increase to operating lease right-of-use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assets and operating lease liabilities of $1.1 million, net of the tenant improvement allowance. In addition, the Company recognized a modification to the existing lease agreements due to the change in the term of lease as a result of the Second Amendment, resulting in a decrease of the operating lease liabilities and corresponding right-of-use asset of approximately $0.3 million. There have been no other significant changes to the Company’s lease agreements during the three and six months ended June 30, 2026. For additional information on the Company’s operating leases, see Note 7, </w:t>
      </w:r>
      <w:r>
        <w:rPr>
          <w:rFonts w:ascii="Times New Roman" w:hAnsi="Times New Roman"/>
          <w:i/>
          <w:color w:val="000000"/>
          <w:sz w:val="20"/>
        </w:rPr>
        <w:t>Leases</w:t>
      </w:r>
      <w:r>
        <w:rPr>
          <w:rFonts w:ascii="Times New Roman" w:hAnsi="Times New Roman"/>
          <w:color w:val="000000"/>
          <w:sz w:val="20"/>
        </w:rPr>
        <w:t>, of the consolidated financial statements in the Annual Report.</w:t>
      </w:r>
    </w:p>
    <w:p>
      <w:pPr>
        <w:pStyle w:val="TextBody"/>
        <w:bidi w:val="0"/>
        <w:spacing w:before="0" w:after="120"/>
        <w:jc w:val="left"/>
        <w:rPr>
          <w:rFonts w:ascii="Times New Roman" w:hAnsi="Times New Roman"/>
          <w:sz w:val="20"/>
        </w:rPr>
      </w:pPr>
      <w:r>
        <w:rPr>
          <w:rFonts w:ascii="Times New Roman" w:hAnsi="Times New Roman"/>
          <w:b/>
          <w:i/>
          <w:color w:val="000000"/>
          <w:sz w:val="20"/>
        </w:rPr>
        <w:t>License Agreements (Budoprutug)</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June 27, 2024, the Company completed its acquisition (the Acquisition) of Tenet Medicines, Inc. (Tenet). As a result of the Acquisition, the following legacy Tenet agreements effectively became agreements of the Company.</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Acelyrin Asset Purchase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11, 2024, Tenet entered into an asset purchase agreement (the Asset Purchase Agreement) with Acelyrin, Inc. (Acelyrin) and WH2, LLC, which was subsequently transferred to the Company by operation of law upon the closing of the Acquisition, providing for the acquisition of certain assets of Acelyrin related to budoprutug, including certain assigned contracts. Under these assigned contracts, the Company received worldwide license (with the right to sublicense) rights to develop, manufacture, use and commercialize budoprutug for any non-oncology indication, and assumed certain liabilities of Acelyrin.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the Company inherited the rights and obligations, including financial obligations, under the CRH Agreement (as defined below) and the ProBioGen Agreement (as defined below).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consideration for the license and other rights the Company received under the Asset Purchase Agreement with respect to Products (as such term is defined in the Asset Purchase Agreement), the Company is obligated to (i) make total payments of up to $157.5 million to Acelyrin upon the achievement of various development, regulatory and commercial milestones, (ii) pay royalties in the single-digit percentages, subject to specified reductions, to Acelyrin on worldwide net sales in a given calendar year, and (iii) make non-refundable and non-creditable payments to Acelyrin on sublicense income with rates ranging from the low single digit to mid teen percent depending on the stage of development of the most advanced Product at the time of such sublicense.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December 31, 2025, the Company filed a complaint in Delaware Superior Court against Alumis Inc. and its wholly owned subsidiary, Acelyrin, relating to a dispute concerning potential milestone payments owed under the Asset Purchase Agreement as further described below under Legal Proceedings.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records expense related to milestone payments when achievement of the milestone is assessed as probable. During the three and six months ended June 30, 2026 and 2025, the Company did not recognize any research and development expense related to milestone payments under the Asset Purchase Agreement.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For additional information related to the Asset Purchase Agreement, please read Note 8, </w:t>
      </w:r>
      <w:r>
        <w:rPr>
          <w:rFonts w:ascii="Times New Roman" w:hAnsi="Times New Roman"/>
          <w:i/>
          <w:color w:val="000000"/>
          <w:sz w:val="20"/>
        </w:rPr>
        <w:t xml:space="preserve">Commitments and Contingencies, </w:t>
      </w:r>
      <w:r>
        <w:rPr>
          <w:rFonts w:ascii="Times New Roman" w:hAnsi="Times New Roman"/>
          <w:color w:val="000000"/>
          <w:sz w:val="20"/>
        </w:rPr>
        <w:t>to the Company’s audited consolidated financial statements included in the Annual Report.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CRH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connection with the Asset Purchase Agreement, in January 2024 Tenet was assigned a license agreement with Cancer Research Technology Limited (CRH) and, in connection with such assignment, Tenet entered into an amended and restated license agreement with CRH (the CRH Agreement) which was subsequently transferred to the Company by operation of law upon the closing of the Acquisition. The CRH Agreement granted the Company a worldwide exclusive license (other than specified patent rights and materials, which are licensed to the Company on a non-exclusive basis) to research, develop, test, manufacture or sell certain licensed products related to budoprutug, for all therapeutic uses except for oncology indications. The Company is permitted to grant a sublicense under these licenses with CRH’s prior written consent.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obligated to pay CRH a mid-five figure digit fee on each anniversary of the effective date and up to an aggregate of £106.8 million ($141.4 million as of June 30, 2026) upon the achievement of specified development, regulatory, commercial and sales milestone events, including: (i) payments of up to mid-six figure digits in pounds sterling for certain development milestones, (ii) payments of up to low-eight figures in pounds sterling per indication (for up to three indications) for certain regulatory and commercial milestones and (iii) payments up to mid-eight figures in pounds sterling for certain sales milestones. The Company is also obligated to pay tiered royalties ranging from a rate in the mid-single digit to high-single digit percentage on net sales. The Company is also responsible for a sublicensing revenue payment ranging from a rate in the mid-single digit to mid-double digits for any sublicense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records expense related to milestone payments when achievement of the milestone is assessed as probable. During the three and six months ended June 30, 2026 and 2025, the Company did not recognize any research and development expense related to the milestones.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For additional information related to the CRH Agreement, please read Note 8, </w:t>
      </w:r>
      <w:r>
        <w:rPr>
          <w:rFonts w:ascii="Times New Roman" w:hAnsi="Times New Roman"/>
          <w:i/>
          <w:color w:val="000000"/>
          <w:sz w:val="20"/>
        </w:rPr>
        <w:t xml:space="preserve">Commitments and Contingencies, </w:t>
      </w:r>
      <w:r>
        <w:rPr>
          <w:rFonts w:ascii="Times New Roman" w:hAnsi="Times New Roman"/>
          <w:color w:val="000000"/>
          <w:sz w:val="20"/>
        </w:rPr>
        <w:t>to the Company’s audited consolidated financial statements included in the Annual Report.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ProBioGen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Asset Purchase Agreement, Tenet was assigned a cell line development, manufacturing services and license agreement (the ProBioGen Agreement) originally entered into by ValenzaBio, Inc. and ProBioGen AG (ProBioGen) in February 2021, which was subsequently transferred to the Company by operation of law upon the closing of the Acquisition. The ProBioGen Agreement granted the Company a non-exclusive license to use cell lines in which ProBioGen’s proprietary technology is applied, to research, develop, manufacture, use, sell, offer to sell, import or export budoprutug. This license includes a non-exclusive sublicense by ProBioGen of certain third-party patent rights, limited to the use of budoprutug.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obligated to (i) make payments of up to €10.0 million ($11.4 million as of June 30, 2026) upon the achievement of certain development, manufacturing and commercial milestones, including the start of a Phase 2 clinical trial for budoprutug, and (ii) make milestone payments of up to €7.0 million ($8.0 million as of June 30, 2026) upon the achievement of certain sales milestones. If the Company elects to contract ProBioGen to perform certain manufacturing services for budoprutug, the milestone payments would be reduced by €1.1 million ($1.2 million as of June 30,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records expense related to milestone payments when achievement of the milestone is assessed as probable. During the three and six months ended June 30, 2026, the Company did not recognize any research and development expense related to the milestones. During the three and six months ended June 30, 2025, the Company recognized $0.8 million of research and development expense related to a milestone.</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For additional information related to the ProBioGen Agreement, please read Note 8, </w:t>
      </w:r>
      <w:r>
        <w:rPr>
          <w:rFonts w:ascii="Times New Roman" w:hAnsi="Times New Roman"/>
          <w:i/>
          <w:color w:val="000000"/>
          <w:sz w:val="20"/>
        </w:rPr>
        <w:t xml:space="preserve">Commitments and Contingencies, </w:t>
      </w:r>
      <w:r>
        <w:rPr>
          <w:rFonts w:ascii="Times New Roman" w:hAnsi="Times New Roman"/>
          <w:color w:val="000000"/>
          <w:sz w:val="20"/>
        </w:rPr>
        <w:t>to the Company’s audited consolidated financial statements included in the Annual Report.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License Agreement (CLYM116)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January 8, 2025, the Company entered into the Mabworks Agreement pursuant to which Mabworks granted to the Company (i) an exclusive (even as to Mabworks and its affiliates), sublicensable right and license under certain patent rights and related know-how (the Licensed Intellectual Property) to develop, manufacture and commercialize Mabworks’ proprietary antibodies associated with Mabworks’ proprietary antibody program, CLYM116 and products containing CLYM116 (Licensed Products) outside of mainland China, Hong Kong, Macau, and Taiwan (Greater China), (ii) a non-exclusive, sublicensable right and license under the Licensed Intellectual Property to manufacture CLYM116 and Licensed Products in Greater China (the Licensed Territory) and (iii) a non-exclusive, sublicensable right and license under the Licensed Intellectual Property to develop CLYM116 and Licensed Products in Greater China in connection with certain global clinical studies (as described below).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Under the terms of the Mabworks Agreement, the Company paid to Mabworks a $9.0 million upfront payment, and the Company is obligated to pay a total of up to $30.0 million upon the achievement of certain development and regulatory milestones pertaining to the first indication for a Licensed Product, additional lower amounts upon the achievement of certain development and regulatory milestones pertaining to up to two additional indications for a Licensed Product and a total of up to $832.0 million upon the achievement of certain commercial milestones for all Licensed Products. In addition, the Company is obligated to pay Mabworks tiered royalties in the low-to mid-single-digit percentages on aggregate annual net sales of all Licensed Products in the Licensed Territory.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recorded the upfront payment of $9.0 million as research and development expenses in the first quarter of 2025 in the unaudited condensed consolidated statements of operations and comprehensive loss. The Company records expense related to milestone payments when achievement of the milestone is assessed as probable. During the three and six months ended June 30, 2026 and 2025, the Company did not recognize any research and development expense related to a milestone.</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For additional information related to the Mabworks Agreement, please read Note 8, </w:t>
      </w:r>
      <w:r>
        <w:rPr>
          <w:rFonts w:ascii="Times New Roman" w:hAnsi="Times New Roman"/>
          <w:i/>
          <w:color w:val="000000"/>
          <w:sz w:val="20"/>
        </w:rPr>
        <w:t xml:space="preserve">Commitments and Contingencies, </w:t>
      </w:r>
      <w:r>
        <w:rPr>
          <w:rFonts w:ascii="Times New Roman" w:hAnsi="Times New Roman"/>
          <w:color w:val="000000"/>
          <w:sz w:val="20"/>
        </w:rPr>
        <w:t>to the Company’s audited consolidated financial statements included in the Annual Report.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its business activities. The Company records accruals for estimated losses when available information indicates a loss is probable and reasonably estimable. Significant judgment is required to determine both probability and the estimated amount. The Company expenses the costs related to its legal proceedings as they are incurred.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December 31, 2025, the Company filed a complaint in Delaware Superior Court against Alumis Inc. and its wholly owned subsidiary, Acelyrin, relating to a dispute concerning potential milestone payments owed under the Asset Purchase Agreement seeking a declaratory judgment that the Company’s budoprutug drug candidate is not a Product under the Asset Purchase Agreement, and that the Company does not owe a milestone payment sought by Alumis in connection with its development of budoprutug. This matter is currently pending. The Company is unable to predict the timeline for resolution or the outcome of this matter.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the date of these unaudited condensed consolidated financial statements, the Company is not party to any other material legal matters or claims.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 provisions. The Company is not currently aware of any indemnification claims and has not accrued any liabilities related to such obligations in its unaudited condensed consolidated financial statements as of June 30,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 Capital Management, LP (RA Capital Management)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December 2025, the Company entered into an exchange agreement (the Exchange Agreement) with RA Capital Management and an entity affiliated with RA Capital Management (the Exchanging Holder), pursuant to which the Exchanging Holder exchanged an aggregate of 20,440,000 shares of the Company’s common stock, beneficially owned by the Exchanging Holder for pre-funded warrants to purchase the same number of shares of the Company’s common stock (subject to adjustment in the event of stock splits, recapitalizations and other similar events affecting the Company’s common stock), with an exercise price of $0.0001 per share. The pre-funded warrants are exercisable at any time and do not expire. The Exchange Agreement did not have any cash impact, and the shares of common stock exchanged for the pre-funded warrants were retired.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April 2026, the Company entered into a securities purchase agreement (the Securities Purchase Agreement) with certain institutional accredited investors, including an affiliate of RA Capital Management. Pursuant to the Securities Purchase Agreement, the Company agreed to issue and sell to an affiliate of RA Capital Management, in a private placement, pre-funded warrants to purchase 2,106,000 shares of the Company’s common stock at a price of $9.4999 per pre-funded warrant. The Company received approximately $20.0 million from an affiliate of RA Capital Management related to sale of the pre-funded warrants. Each pre-funded warrant issued in connection with the Securities Purchase Agreement has an exercise price of $0.0001 per share, is exercisable at any time until the pre-funded warrants are exercised in full and does not expire. Refer to Note 10, </w:t>
      </w:r>
      <w:r>
        <w:rPr>
          <w:rFonts w:ascii="Times New Roman" w:hAnsi="Times New Roman"/>
          <w:i/>
          <w:color w:val="000000"/>
          <w:sz w:val="20"/>
        </w:rPr>
        <w:t xml:space="preserve">Stockholders’ Equity (Deficit), </w:t>
      </w:r>
      <w:r>
        <w:rPr>
          <w:rFonts w:ascii="Times New Roman" w:hAnsi="Times New Roman"/>
          <w:color w:val="000000"/>
          <w:sz w:val="20"/>
        </w:rPr>
        <w:t xml:space="preserve">for additional details on the Securities Purchase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RA Capital Management is not entitled to exercise any portion of the December 2025 or April 2026 pre-funded warrants if, upon giving effect or immediately prior to such exercise, such exercise would result in the aggregate number of shares of common stock beneficially owned by RA Capital Management and their respective affiliates, collectively, to exceed 33.0% of the number of shares of common stock issued and outstanding immediately after giving effect to such exercise, as such percentage ownership is determined in accordance with the terms of the pre-funded warrant. The Exchanging Holder may increase or decrease such percentage to any other percentage not in excess of 33.0%; provided that any such increase will not be effective until the 61st day after notice from the Exchanging Holder is delivered to the Company. In addition, following the date of the Exchange Agreement, RA Capital Management may exchange additional shares of common stock beneficially owned by it or its affiliates for pre-funded warrants, subject to certain terms and conditions, including the Company’s written consent.</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determined that the pre-funded warrants from both the December 2025 Exchange Agreement and the April 2026 Securities Purchase Agreement did not meet the classification of a liability under ASC 480, </w:t>
      </w:r>
      <w:r>
        <w:rPr>
          <w:rFonts w:ascii="Times New Roman" w:hAnsi="Times New Roman"/>
          <w:i/>
          <w:color w:val="000000"/>
          <w:sz w:val="20"/>
        </w:rPr>
        <w:t>Distinguishing Liabilities from Equity</w:t>
      </w:r>
      <w:r>
        <w:rPr>
          <w:rFonts w:ascii="Times New Roman" w:hAnsi="Times New Roman"/>
          <w:color w:val="000000"/>
          <w:sz w:val="20"/>
        </w:rPr>
        <w:t xml:space="preserve">. The Company concluded that the pre-funded warrants should be classified as equity based on an analysis performed under ASC 815-40, </w:t>
      </w:r>
      <w:r>
        <w:rPr>
          <w:rFonts w:ascii="Times New Roman" w:hAnsi="Times New Roman"/>
          <w:i/>
          <w:color w:val="000000"/>
          <w:sz w:val="20"/>
        </w:rPr>
        <w:t>Contracts in an Entity’s Own Equity</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Stock-Based Compensation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2019 and 2021 Equity Incentive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has outstanding awards under its 2019 Equity Incentive Plan (the 2019 Plan), but is no longer granting awards under this plan. The Company’s 2021 Equity Incentive Plan (the 2021 Plan and, together with the 2019 Plan, the Plans) provides for the grant of incentive stock options, non-statutory stock options, restricted stock awards, restricted stock units (RSUs), stock appreciation rights and other stock-based awards to the Company’s employees, officers, directors and consultants. Any shares that are returned under the 2019 Plan as a result of cancellation or forfeiture become available for grant under the 2021 Plan. Further, the number of shares of common stock reserved for issuance under the 2021 Plan automatically increases on January 1 of each year continuing through and including January 1, 2031, by 5% of the total number of shares of common stock outstanding on December 31 of the immediately preceding calendar year, or a lesser number of shares determined by the Company’s board of directors. The number of shares reserved for issuance under the 2021 Plan was increased by 2,388,316 shares effective as of January 1, 2026 in accordance with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provisions of the 2021 Plan described above. On June 5, 2026, the Company’s shareholders approved an amendment to the 2021 Plan to amend the provision providing for an automatic share pool increase to include pre-funded warrants in the calculation of the annual increase. As a result of the amendment, the next automatic annual share pool increase will come into effect on January 1, 2027 and it will be equal to the lesser of (I) 5% of the sum of (1) the number of outstanding shares of common stock and (2) the number of shares of the Company's common stock subject to pre-funded warrants, each as of the immediately preceding December 31, and (II) an amount determined by the board of directors. As of June 30, 2026, 3,225,667 shares remained available for future grant under the 2021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terms of the 2021 Plan, options are granted at an exercise price no less than fair value of the Company’s common stock on the grant date, except in certain cases related to significant corporate transactions. Options expire no later than ten years from the date of the grant.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2025 Inducement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2025, the Company’s board of directors adopted the 2025 Inducement Plan (the Inducement Plan), pursuant to which the Company may grant nonstatutory stock options, stock appreciation rights, restricted stock, RSUs and other stock-based awards with respect to an aggregate of 1,250,000 shares of its common stock. Awards under the Inducement Plan may only be granted to new employees who were not previously an employee or director of the Company or are commencing employment with the Company following a bona fide period of non-employment, in either case, as an inducement material to the individual’s entering into employment with the Company in accordance with the requirements of Nasdaq Stock Market Rule 5635(c)(4). On September 30, 2025, the Company’s board of directors approved an amendment to the Inducement Plan to increase the number of shares of common stock authorized for issuance under the Inducement Plan by 750,000 shares. As of June 30, 2026, 145,834 shares were available for issuance under the Inducement Plan.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2021 Employee Stock Purchase Plan (the ESPP) allows employees, including executive officers, to contribute up to 15% of their earnings, subject to certain limitations, for the purchase of the Company’s common stock at a price per share equal to the lower of (a) 85% of the fair market value of a share of common stock on the first day of the offering period, or (b) 85% of the fair market value of a share of common stock on the last day of the offering period. The number of shares of common stock reserved for issuance under the ESPP automatically increases on January 1 of each calendar year through and including January 1, 2031, by the lesser of (1) 1% of the total number of shares of the Company’s common stock outstanding on December 31 of the preceding calendar year or (2) a number of shares determined by the Company’s board of directors. Shares subject to purchase rights granted under the ESPP that terminate without having been exercised in full will not reduce the number of shares available for issuance under the ESPP. The number of shares reserved for issuance under the ESPP was increased by 477,663 shares effective as of January 1, 2026 in accordance with the provisions of the ESPP described above. As of June 30, 2026, 20,359 shares had been purchased under the ESPP and 2,194,083 shares remained available for issuance under the ESPP.</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Stock Option Valuation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fair value of stock option grants is estimated on the date of grant using the Black Scholes option pricing model. Volatility is estimated based on the historical and implied volatilities of comparable publicly traded companies as the Company does not have sufficient history of trading in its common stock.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relevant data used to determine the fair value of the stock options during the three and six months ended June 30, 2026 and 2025 is as follows:</w:t>
      </w:r>
    </w:p>
    <w:tbl>
      <w:tblPr>
        <w:tblW w:w="7342" w:type="dxa"/>
        <w:jc w:val="left"/>
        <w:tblInd w:w="0" w:type="dxa"/>
        <w:tblLayout w:type="fixed"/>
        <w:tblCellMar>
          <w:top w:w="28" w:type="dxa"/>
          <w:left w:w="28" w:type="dxa"/>
          <w:bottom w:w="28" w:type="dxa"/>
          <w:right w:w="28" w:type="dxa"/>
        </w:tblCellMar>
      </w:tblPr>
      <w:tblGrid>
        <w:gridCol w:w="2131"/>
        <w:gridCol w:w="146"/>
        <w:gridCol w:w="189"/>
        <w:gridCol w:w="604"/>
        <w:gridCol w:w="351"/>
        <w:gridCol w:w="189"/>
        <w:gridCol w:w="189"/>
        <w:gridCol w:w="741"/>
        <w:gridCol w:w="271"/>
        <w:gridCol w:w="146"/>
        <w:gridCol w:w="173"/>
        <w:gridCol w:w="552"/>
        <w:gridCol w:w="321"/>
        <w:gridCol w:w="173"/>
        <w:gridCol w:w="173"/>
        <w:gridCol w:w="677"/>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Outstanding stock options consist of option grants with service-based vesting conditions, typically 25% on the first anniversary of the grant date with the remainder vesting monthly over the following three years. The activity for the stock options is as follows: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13" w:type="dxa"/>
        <w:jc w:val="left"/>
        <w:tblInd w:w="0" w:type="dxa"/>
        <w:tblLayout w:type="fixed"/>
        <w:tblCellMar>
          <w:top w:w="28" w:type="dxa"/>
          <w:left w:w="28" w:type="dxa"/>
          <w:bottom w:w="28" w:type="dxa"/>
          <w:right w:w="28" w:type="dxa"/>
        </w:tblCellMar>
      </w:tblPr>
      <w:tblGrid>
        <w:gridCol w:w="3991"/>
        <w:gridCol w:w="146"/>
        <w:gridCol w:w="146"/>
        <w:gridCol w:w="931"/>
        <w:gridCol w:w="166"/>
        <w:gridCol w:w="146"/>
        <w:gridCol w:w="248"/>
        <w:gridCol w:w="548"/>
        <w:gridCol w:w="146"/>
        <w:gridCol w:w="146"/>
        <w:gridCol w:w="235"/>
        <w:gridCol w:w="756"/>
        <w:gridCol w:w="146"/>
        <w:gridCol w:w="146"/>
        <w:gridCol w:w="267"/>
        <w:gridCol w:w="858"/>
        <w:gridCol w:w="2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aggregate intrinsic value disclosed in the above table is calculated as the difference between the exercise price of the stock options and the fair value of the Company’s common stock for those stock options that had strike prices lower than the fair value of the Company’s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weighted-average grant date fair value of stock options granted during the six months ended June 30, 2026 and 2025 was $4.58 and $1.35 per share, respectively.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outstanding RSUs with service-based vesting conditions and RSUs with performance-based vesting conditions. The activity for RSUs is as follows:</w:t>
      </w:r>
    </w:p>
    <w:tbl>
      <w:tblPr>
        <w:tblW w:w="7542" w:type="dxa"/>
        <w:jc w:val="left"/>
        <w:tblInd w:w="0" w:type="dxa"/>
        <w:tblLayout w:type="fixed"/>
        <w:tblCellMar>
          <w:top w:w="28" w:type="dxa"/>
          <w:left w:w="28" w:type="dxa"/>
          <w:bottom w:w="28" w:type="dxa"/>
          <w:right w:w="28" w:type="dxa"/>
        </w:tblCellMar>
      </w:tblPr>
      <w:tblGrid>
        <w:gridCol w:w="2701"/>
        <w:gridCol w:w="146"/>
        <w:gridCol w:w="146"/>
        <w:gridCol w:w="781"/>
        <w:gridCol w:w="166"/>
        <w:gridCol w:w="146"/>
        <w:gridCol w:w="986"/>
        <w:gridCol w:w="2179"/>
        <w:gridCol w:w="2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stock-based compensation expense included in the Company’s unaudited condensed consolidated statements of operations and comprehensive loss (in thousands):</w:t>
      </w:r>
    </w:p>
    <w:tbl>
      <w:tblPr>
        <w:tblW w:w="8912" w:type="dxa"/>
        <w:jc w:val="left"/>
        <w:tblInd w:w="0" w:type="dxa"/>
        <w:tblLayout w:type="fixed"/>
        <w:tblCellMar>
          <w:top w:w="28" w:type="dxa"/>
          <w:left w:w="28" w:type="dxa"/>
          <w:bottom w:w="28" w:type="dxa"/>
          <w:right w:w="28" w:type="dxa"/>
        </w:tblCellMar>
      </w:tblPr>
      <w:tblGrid>
        <w:gridCol w:w="3551"/>
        <w:gridCol w:w="246"/>
        <w:gridCol w:w="257"/>
        <w:gridCol w:w="697"/>
        <w:gridCol w:w="178"/>
        <w:gridCol w:w="178"/>
        <w:gridCol w:w="257"/>
        <w:gridCol w:w="697"/>
        <w:gridCol w:w="246"/>
        <w:gridCol w:w="246"/>
        <w:gridCol w:w="235"/>
        <w:gridCol w:w="637"/>
        <w:gridCol w:w="162"/>
        <w:gridCol w:w="162"/>
        <w:gridCol w:w="235"/>
        <w:gridCol w:w="637"/>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June 30, 2026, there was $19.5 million of total unrecognized compensation cost related to unvested awards expected to vest, which is expected to be recognized over a weighted average period of 2.9 years. </w:t>
      </w:r>
    </w:p>
    <w:p>
      <w:pPr>
        <w:pStyle w:val="TextBody"/>
        <w:bidi w:val="0"/>
        <w:spacing w:before="240" w:after="283"/>
        <w:jc w:val="left"/>
        <w:rPr>
          <w:rFonts w:ascii="Times New Roman" w:hAnsi="Times New Roman"/>
          <w:sz w:val="20"/>
        </w:rPr>
      </w:pPr>
      <w:r>
        <w:rPr>
          <w:rFonts w:ascii="Times New Roman" w:hAnsi="Times New Roman"/>
          <w:b/>
          <w:color w:val="000000"/>
          <w:sz w:val="20"/>
        </w:rPr>
        <w:t>9.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generated a net loss in all periods presented, therefore the basic and diluted net loss per share are the same as the inclusion of the potentially dilutive securities would be anti-dilutive. Basic and diluted net loss per share are computed using the weighted-average number of shares of common stock outstanding for the period. The Company issued pre-funded warrants in December 2025 and April 2026. The shares of common stock underlying the pre-funded warrants are included in the calculation of basic and diluted net loss per share because they are considered shares issuable for little or no consideration under ASC 260, </w:t>
      </w:r>
      <w:r>
        <w:rPr>
          <w:rFonts w:ascii="Times New Roman" w:hAnsi="Times New Roman"/>
          <w:i/>
          <w:color w:val="000000"/>
          <w:sz w:val="20"/>
        </w:rPr>
        <w:t>Earnings Per Share</w:t>
      </w:r>
      <w:r>
        <w:rPr>
          <w:rFonts w:ascii="Times New Roman" w:hAnsi="Times New Roman"/>
          <w:color w:val="000000"/>
          <w:sz w:val="20"/>
        </w:rPr>
        <w:t xml:space="preserve">. Refer to Note 7, </w:t>
      </w:r>
      <w:r>
        <w:rPr>
          <w:rFonts w:ascii="Times New Roman" w:hAnsi="Times New Roman"/>
          <w:i/>
          <w:color w:val="000000"/>
          <w:sz w:val="20"/>
        </w:rPr>
        <w:t>Related Party Transactions</w:t>
      </w:r>
      <w:r>
        <w:rPr>
          <w:rFonts w:ascii="Times New Roman" w:hAnsi="Times New Roman"/>
          <w:color w:val="000000"/>
          <w:sz w:val="20"/>
        </w:rPr>
        <w:t>, for additional details on the December 2025 and April 2026 pre-funded warrants issuance. The following table shows the computation of basic and diluted net loss per share (in thousands, except share and per share data):</w:t>
      </w:r>
    </w:p>
    <w:p>
      <w:pPr>
        <w:pStyle w:val="TextBody"/>
        <w:bidi w:val="0"/>
        <w:spacing w:before="120" w:after="12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Weighted-average common shares outstanding, basic </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54,256,071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67,585,121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51,029,617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67,524,124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Weighted-average common shares outstanding under the </w:t>
              <w:br/>
              <w:t>            pre-funded warrant,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21,173,028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Weighted-average common shares outstanding, basic </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76,154,071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67,585,121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72,202,645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67,524,124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the outstanding potentially dilutive securities, presented as of period-end, that have been excluded in the calculation of diluted net loss per share for the periods presented because to do so would be anti-dilutive: </w:t>
      </w:r>
    </w:p>
    <w:tbl>
      <w:tblPr>
        <w:tblW w:w="7099" w:type="dxa"/>
        <w:jc w:val="left"/>
        <w:tblInd w:w="0" w:type="dxa"/>
        <w:tblLayout w:type="fixed"/>
        <w:tblCellMar>
          <w:top w:w="28" w:type="dxa"/>
          <w:left w:w="28" w:type="dxa"/>
          <w:bottom w:w="28" w:type="dxa"/>
          <w:right w:w="28" w:type="dxa"/>
        </w:tblCellMar>
      </w:tblPr>
      <w:tblGrid>
        <w:gridCol w:w="4216"/>
        <w:gridCol w:w="146"/>
        <w:gridCol w:w="146"/>
        <w:gridCol w:w="931"/>
        <w:gridCol w:w="146"/>
        <w:gridCol w:w="146"/>
        <w:gridCol w:w="146"/>
        <w:gridCol w:w="931"/>
        <w:gridCol w:w="2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5,663,022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 and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of common stock issuable under Employee </w:t>
              <w:br/>
              <w:t>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potentially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8,610,081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6,290,732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Stockholders’ Equity (Deficit)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terms of the Company’s amended and restated certificate of incorporation, the Company has 10,000,000 authorized shares of preferred stock, par value $0.0001 per share, all of which shares of preferred stock are undesignated. The Company’s Board of Directors is expressly authorized, without further action by the Company’s stockholders, to issue such shares of preferred stock from time to time on terms it may determine, to divide shares of preferred stock into one or more series and to fix the voting powers, designations, preferences and restrictions of preferred stock. There were no issued and outstanding shares of preferred stock as of June 30, 2026 and December 31, 2025.</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terms of the Company’s amended and restated certificate of incorporation, the Company has 250,000,000 authorized shares of common stock, par value $0.0001 per share. There were 57,436,255 and 47,766,338 shares of common stock issued and outstanding as of June 30, 2026 and December 31, 2025, respectively.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2026 Private Placement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2026, the Company entered into the Securities Purchase Agreement with certain institutional accredited investors (the Investors), including an affiliate of RA Capital Management, pursuant to which the Company agreed to issue and sell to the Investors in a private placement an aggregate of 9,481,000 shares of the Company’s common stock, par value $0.0001 per share (the Shares), at a price of $9.50 per Share and, to RA Capital Management in lieu of Shares, pre-funded warrants to purchase 2,106,000 shares of the Company’s common stock (the Pre-Funded Warrants) at a price of $9.4999 per Pre-Funded Warrant (the 2026 Private Placement).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2026 Private Placement closed in April 2026, and the Company received aggregate net proceeds of approximately $103.4 million, after deducting placement agent fees and offering expenses. The Company has granted the Investors indemnification rights with respect to its representations, warranties, covenants and agreements under the Securities Purchase Agreement.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2025, the Company entered into an Equity Distribution Agreement (the Distribution Agreement) with Oppenheimer &amp; Co. Inc., as sales agent (Oppenheimer), pursuant to which the Company may offer and sell shares of its common stock from time to time through Oppenheimer having an aggregate offering price of up to $22.4 million in an at-the-market offering. The Company terminated the Distribution Agreement effective as of June 11, 2026. The Company did not incur any termination penalties as a result of the termination of the Distribution Agreement. As of the effective date of the termination of the Distribution Agreement, the Company had sold no shares of common stock pursuant to the Distribution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2026, the Company entered into an Open Market Sale Agreement℠ with Jefferies LLC, as sales agent, to provide for the issuance and sale of up to $100.0 million of the Company’s common stock from time-to-time in “at-the-market” offerings (the ATM Program). As of June 30, 2026, no sales had been made pursuant to the ATM Program.</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separate discrete financial information is available for evaluation by the chief operating decision-maker (the CODM). The Company views its operations and manages its business as one operating and reportable segment, focused on developing therapeutics for patients with immune-mediated diseases. The Company’s CODM is its chief executive officer.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Segment profit or loss is measured as net loss presented on the unaudited condensed consolidated statements of operations and comprehensive loss. For the purpose of evaluating segment performance and allocating resources, the CODM reviews the Company’s financial information on a consolidated basis together with certain operating metrics and evaluates net loss against comparable prior periods and the Company’s annual operating plan. The measure of segment assets is reported on the unaudited condensed consolidated balance sheets as total consolidated assets.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to the significant expense categories included within net loss presented on the unaudited condensed consolidated statements of operations and comprehensive loss, the following table sets forth disaggregated research and development expenses (in thousands): </w:t>
      </w:r>
    </w:p>
    <w:tbl>
      <w:tblPr>
        <w:tblW w:w="10142" w:type="dxa"/>
        <w:jc w:val="left"/>
        <w:tblInd w:w="0" w:type="dxa"/>
        <w:tblLayout w:type="fixed"/>
        <w:tblCellMar>
          <w:top w:w="28" w:type="dxa"/>
          <w:left w:w="28" w:type="dxa"/>
          <w:bottom w:w="28" w:type="dxa"/>
          <w:right w:w="28" w:type="dxa"/>
        </w:tblCellMar>
      </w:tblPr>
      <w:tblGrid>
        <w:gridCol w:w="4881"/>
        <w:gridCol w:w="146"/>
        <w:gridCol w:w="257"/>
        <w:gridCol w:w="697"/>
        <w:gridCol w:w="178"/>
        <w:gridCol w:w="178"/>
        <w:gridCol w:w="257"/>
        <w:gridCol w:w="697"/>
        <w:gridCol w:w="146"/>
        <w:gridCol w:w="146"/>
        <w:gridCol w:w="211"/>
        <w:gridCol w:w="677"/>
        <w:gridCol w:w="146"/>
        <w:gridCol w:w="146"/>
        <w:gridCol w:w="211"/>
        <w:gridCol w:w="677"/>
        <w:gridCol w:w="49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Budoprutug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CLYM116</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Legacy programs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Includes the upfront payment and the associated direct transaction costs incurred in connection with the Mabworks Agreement for the six months ended June 30, 2025.</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Includes direct expenses related to the Company</w:t>
      </w:r>
      <w:r>
        <w:rPr>
          <w:rFonts w:ascii="Times New Roman" w:hAnsi="Times New Roman"/>
          <w:color w:val="000000"/>
          <w:sz w:val="20"/>
        </w:rPr>
        <w:t>’</w:t>
      </w:r>
      <w:r>
        <w:rPr>
          <w:rFonts w:ascii="Times New Roman" w:hAnsi="Times New Roman"/>
          <w:color w:val="000000"/>
          <w:sz w:val="16"/>
        </w:rPr>
        <w:t>s legacy product candidates ETX-123 and ETX-155.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14, 2026, the Company entered into an Amended and Restated Technology Transfer and Exclusive License Agreement with Mabworks Biotech Co., Ltd., which amended and restated the parties’ existing agreement dated January 8, 2025. The amended agreement reflects the advancement of the parties’ collaboration and establishes a framework for additional collaboration on development activities, including clinical trials, as may be mutually agreed by the parties. The milestone payment and royalty provisions of the original agreement remain unchanged. The Company is evaluating the accounting impact of the amended agreement.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mda"/>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in this Quarterly Report and the audited financial statements and notes thereto as of and for the year ended December 31, 2025 and the related Management’s Discussion and Analysis of Financial Condition and Results of Operations, both of which are contained in our Annual Report on Form 10-K filed with the Securities and Exchange Commission (SEC) on March 5, 2026. Some of the information contained in this discussion and analysis or set forth elsewhere in this Quarterly Report, including information with respect to our plans and strategy for our business, includes forward-looking statements that involve substantial risks and uncertainties. As a result of many factors, including those factors set forth in Part II, Item 1A. “Risk Factors” of this Quarterly Report, our actual results could differ materially from the results described in or implied by the forward-looking statements contained in the following discussion and analysis. For further information regarding our forward-looking statements, see “Cautionary Note Regarding Forward-Looking Statements” in this Quarterly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Unless the context requires otherwise, references in this Quarterly Report to “we,” “us,” and “our” refer to Climb Bio, Inc. and its wholly owned subsidiaries.</w:t>
      </w:r>
      <w:r>
        <w:rPr>
          <w:rFonts w:ascii="Times New Roman" w:hAnsi="Times New Roman"/>
          <w:color w:val="000000"/>
          <w:sz w:val="20"/>
        </w:rPr>
        <w:b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are a clinical-stage biotechnology company committed to developing potential best-in-class therapeutics that address significant unmet need for patients living with immune-mediated diseases. We have built our pipeline by strategically acquiring or in-licensing product candidates that we believe have clear biological rationale, well-defined development pathways, and the potential to address multiple indications.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developing our product candidates for multiple immune-mediated diseases, as summarized in the pipeline figure below.</w:t>
      </w:r>
    </w:p>
    <w:p>
      <w:pPr>
        <w:pStyle w:val="TextBody"/>
        <w:bidi w:val="0"/>
        <w:jc w:val="left"/>
        <w:rPr/>
      </w:pPr>
      <w:r>
        <w:rPr/>
        <w:t> </w:t>
      </w:r>
    </w:p>
    <w:p>
      <w:pPr>
        <w:pStyle w:val="TextBody"/>
        <w:bidi w:val="0"/>
        <w:jc w:val="left"/>
        <w:rPr/>
      </w:pPr>
      <w:r>
        <w:rPr/>
        <w:drawing>
          <wp:inline distT="0" distB="0" distL="0" distR="0">
            <wp:extent cx="6858000" cy="3238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238500"/>
                    </a:xfrm>
                    <a:prstGeom prst="rect">
                      <a:avLst/>
                    </a:prstGeom>
                  </pic:spPr>
                </pic:pic>
              </a:graphicData>
            </a:graphic>
          </wp:inline>
        </w:drawing>
      </w:r>
    </w:p>
    <w:p>
      <w:pPr>
        <w:pStyle w:val="TextBody"/>
        <w:bidi w:val="0"/>
        <w:spacing w:before="120" w:after="120"/>
        <w:jc w:val="left"/>
        <w:rPr>
          <w:rFonts w:ascii="Times New Roman" w:hAnsi="Times New Roman"/>
          <w:sz w:val="20"/>
        </w:rPr>
      </w:pPr>
      <w:r>
        <w:rPr>
          <w:rFonts w:ascii="Times New Roman" w:hAnsi="Times New Roman"/>
          <w:color w:val="000000"/>
          <w:sz w:val="20"/>
        </w:rPr>
        <w:t>We acquired the rights to our product candidates through license and asset purchase agreements. We have worldwide rights to develop and commercialize budoprutug for all indications, except for oncology. We have rights to develop and commercialize CLYM116 for all indications worldwide outside of mainland China, Hong Kong, Macau, and Taiwan (Greater China). Additional information about our business, our products, and our product candidates is included in Part I. Item 1., “</w:t>
      </w:r>
      <w:r>
        <w:rPr>
          <w:rFonts w:ascii="Times New Roman" w:hAnsi="Times New Roman"/>
          <w:i/>
          <w:color w:val="000000"/>
          <w:sz w:val="20"/>
        </w:rPr>
        <w:t>Business</w:t>
      </w:r>
      <w:r>
        <w:rPr>
          <w:rFonts w:ascii="Times New Roman" w:hAnsi="Times New Roman"/>
          <w:color w:val="000000"/>
          <w:sz w:val="20"/>
        </w:rPr>
        <w:t>” included in our Annual Report.</w:t>
      </w:r>
    </w:p>
    <w:p>
      <w:pPr>
        <w:pStyle w:val="TextBody"/>
        <w:bidi w:val="0"/>
        <w:jc w:val="left"/>
        <w:rPr>
          <w:rFonts w:ascii="Times New Roman" w:hAnsi="Times New Roman"/>
          <w:b/>
          <w:i/>
          <w:color w:val="000000"/>
          <w:sz w:val="20"/>
        </w:rPr>
      </w:pPr>
      <w:r>
        <w:rPr>
          <w:rFonts w:ascii="Times New Roman" w:hAnsi="Times New Roman"/>
          <w:b/>
          <w:i/>
          <w:color w:val="000000"/>
          <w:sz w:val="20"/>
        </w:rPr>
        <w:t>Budoprutug IV</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lead product candidate, budoprutug, is a clinical-stage anti-CD19 monoclonal antibody (mAb) designed to deplete CD19-positive B cells. CD19 plays a mechanistic role across all stages of B-cell development, and emerging clinical evidence continues to support the importance of CD19 in immune-mediated diseases. By targeting CD19, budoprutug has the potential to provide rapid, profound, and durable reductions in B cells and pathogenic autoantibodies, which may allow for a disease-modifying therapeutic approach. We have focused our initial development strategy for budoprutug on primary membranous nephropathy (pMN), immune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thrombocytopenia (ITP), and systemic lupus erythematosus (SLE), which we believe each offer a strong mechanistic rationale for CD19-directed therapy.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pMN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November 2025, we dosed the first patient in our Phase 2 clinical trial of budoprutug in pMN patients with persistent proteinuria despite optimized renin-angiotensin-aldosterone system (RAAS) inhibition, known as PrisMN. PrisMN, an open-label, dose-ranging Phase 2 clinical trial, is designed to further evaluate safety, pharmacokinetics (PK), pharmacodynamics (PD) (including B cells, anti-PLA2R (Phospholipase A2 Receptor) and total immunoglobulin), and preliminary efficacy, including complete and partial remission, and to identify an optimal dose for Phase 3. The FDA granted budoprutug orphan-drug designation for the treatment of pMN in January 2023 and Fast Track Designation for pMN in April 2026. Enrollment is now ongoing in the second cohort (600 mg) of the PrisMN trial, and we expect to have initial data, including B-cell and anti-PLA2R data from the low dose cohort (200 mg at 12-24 weeks) at a medical meeting in the fourth quarter of 2026.</w:t>
      </w:r>
    </w:p>
    <w:p>
      <w:pPr>
        <w:pStyle w:val="TextBody"/>
        <w:bidi w:val="0"/>
        <w:jc w:val="left"/>
        <w:rPr>
          <w:rFonts w:ascii="Times New Roman" w:hAnsi="Times New Roman"/>
          <w:i/>
          <w:color w:val="000000"/>
          <w:sz w:val="20"/>
        </w:rPr>
      </w:pPr>
      <w:r>
        <w:rPr>
          <w:rFonts w:ascii="Times New Roman" w:hAnsi="Times New Roman"/>
          <w:i/>
          <w:color w:val="000000"/>
          <w:sz w:val="20"/>
        </w:rPr>
        <w:t>ITP</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June 2025, we dosed the first patient in our open-label, dose-escalation Phase 1b/2a clinical trial of budoprutug in patients with ITP, which is designed to evaluate safety, tolerability, PK, PD, and preliminary efficacy, including B-cell depletion and platelet counts. Results from this trial are expected to provide a deeper understanding of budoprutug activity and dosing and will inform future development efforts in ITP and other immune-mediated diseases.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2026, we presented initial Phase 1b data in patients with primary ITP at the European Hematology Association, which demonstrated an encouraging safety and tolerability profile, robust B-cell depletion, and meaningful platelet responses in heavily pretreated patients. Initial safety and efficacy data were reported from the 250 mg cohort, while initial safety data were reported from the 500 mg cohort. These findings support the continued development of budoprutug across multiple autoimmune indications. Enrollment in the 1000 mg cohort is near complete and we expect to report additional data from the 500 mg and 1000 mg dose cohorts in the fourth quarter of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Target enrollment for the Phase 1b/2a trial is approximately 24 patients, which is expected to be achieved within the Phase 1b portion of the study. We expect the Phase 1b dataset will provide adequate information to inform dose selection and future development planning in ITP and other immune-mediated diseases. Future development decisions will be subject to review of the complete dataset and other considerations.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SLE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2025, we dosed the first patient in our global, open-label, dose-escalation Phase 1b clinical trial of budoprutug in moderate to severe SLE. In this trial, a single dose of budoprutug will be administered in moderate to severe SLE patients to evaluate safety, tolerability, PK, PD, and preliminary efficacy, including B-cell depletion, autoantibody levels, and clinical activity. Enrollment is ongoing and we expect to have initial B-cell data from the global Phase 1b clinical trial in SLE in the fourth quarter of 2026. In December 2025, we received clearance of our IND to initiate a separate, parallel Phase 1b/2a clinical trial in SLE patients in China, which will complement our ongoing global Phase 1b clinical trial and also seek to enroll SLE patients who have lupus nephritis (LN). We dosed the first patient in this trial in June 2026 and are actively enrolling. The data from these trials in SLE are expected to provide insights into budoprutug activity and will also help to inform future development efforts for our program broadly.</w:t>
      </w:r>
    </w:p>
    <w:p>
      <w:pPr>
        <w:pStyle w:val="TextBody"/>
        <w:bidi w:val="0"/>
        <w:jc w:val="left"/>
        <w:rPr>
          <w:rFonts w:ascii="Times New Roman" w:hAnsi="Times New Roman"/>
          <w:b/>
          <w:i/>
          <w:color w:val="000000"/>
          <w:sz w:val="20"/>
        </w:rPr>
      </w:pPr>
      <w:r>
        <w:rPr>
          <w:rFonts w:ascii="Times New Roman" w:hAnsi="Times New Roman"/>
          <w:b/>
          <w:i/>
          <w:color w:val="000000"/>
          <w:sz w:val="20"/>
        </w:rPr>
        <w:t>Budoprutug SC</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parallel, we are advancing a high-concentration subcutaneous (SC) formulation of budoprutug, which may offer a differentiated convenience profile and potential commercial advantage. We completed a Phase 1 clinical trial of the SC formulation of budoprutug in healthy volunteers in Australia and announced topline data from this trial in May 2026. The SC formulation of budoprutug was generally well-tolerated and resulted in robust B-cell depletion, which was similar to the IV formulation at a matched dose. The results support the advancement of the SC formulation to a multiple dose study in autoimmune disease patients to evaluate full B-cell depleting doses and optimal dosing regimen. We expect initial data from this trial in 2027.</w:t>
      </w:r>
    </w:p>
    <w:p>
      <w:pPr>
        <w:pStyle w:val="TextBody"/>
        <w:bidi w:val="0"/>
        <w:jc w:val="left"/>
        <w:rPr>
          <w:rFonts w:ascii="Times New Roman" w:hAnsi="Times New Roman"/>
          <w:b/>
          <w:i/>
          <w:color w:val="000000"/>
          <w:sz w:val="20"/>
        </w:rPr>
      </w:pPr>
      <w:r>
        <w:rPr>
          <w:rFonts w:ascii="Times New Roman" w:hAnsi="Times New Roman"/>
          <w:b/>
          <w:i/>
          <w:color w:val="000000"/>
          <w:sz w:val="20"/>
        </w:rPr>
        <w:t>CLYM116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addition to budoprutug, we are developing CLYM116, a next generation anti-APRIL (A PRoliferation-Inducing Ligand) mAb for the treatment of patients with immunoglobulin A nephropathy (IgAN) and other B-cell mediated diseases. CLYM116 is a highly potent, Fc-engineered antibody that prevents APRIL signaling by potently blocking the binding of APRIL to its receptors and promoting lysosomal APRIL degradation through a pH-dependent bind-and-release ‘sweeper’ mechanism. Through this unique binding profile and half-life extending Fc-engineering, CLYM116 has the potential to enable deep and durable inhibition of APRIL signaling and IgA production.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December 2025, we dosed the first subject in our Phase 1 clinical trial in healthy volunteers designed to evaluate the safety, tolerability, PK, and PD of CLYM116. Separately, in February 2026, our partner, Mabworks, initiated a Phase 1/2 clinical trial in China in healthy volunteers and IgAN patients and enrollment is ongoing. In June 2026, we completed dosing in our Phase 1 trial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presented positive translational pharmacometrics modeling and initial Phase 1 safety data for CLYM116 at European Renal Association Congress. We anticipate reporting PK and PD data from our Phase 1 study in healthy volunteers at our next R&amp;D Spotlight on September 3, 2026, and expect additional Phase 1 updates from us and our partner, Mabworks at a medical meeting later this year.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Mabworks anticipates dosing the first IgAN patient in the Phase 2 portion of their ongoing study in the third quarter of 2026 and we expect initial data from this trial in 2027.</w:t>
      </w:r>
    </w:p>
    <w:p>
      <w:pPr>
        <w:pStyle w:val="TextBody"/>
        <w:bidi w:val="0"/>
        <w:jc w:val="left"/>
        <w:rPr>
          <w:rFonts w:ascii="Times New Roman" w:hAnsi="Times New Roman"/>
          <w:b/>
          <w:i/>
          <w:color w:val="000000"/>
          <w:sz w:val="20"/>
        </w:rPr>
      </w:pPr>
      <w:r>
        <w:rPr>
          <w:rFonts w:ascii="Times New Roman" w:hAnsi="Times New Roman"/>
          <w:b/>
          <w:i/>
          <w:color w:val="000000"/>
          <w:sz w:val="20"/>
        </w:rPr>
        <w:t>Risks and Liquidity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our inception, we have primarily funded our operations with proceeds from the sale and issuance of shares of our redeemable convertible preferred stock, our initial public offering (IPO), and the sale and issuance of shares in private placements of shares of our common stock and pre-funded warrants to certain institutional investors. We do not have any products approved for sale and have not generated any revenue from product sales since our inception. Our ability to generate product revenue will depend on the successful development, regulatory approval and eventual commercialization of one or more of our product candidates, if approved. We cannot assure you that we will ever be profitable or generate positive cash flow from operating activities. We expect to continue to incur operating losses for the foreseeable future and will need to raise substantial additional capital in the future. Until such time, if ever, as we can generate significant revenue from product sales, we may finance our operations through equity offerings, debt financings, collaborations, strategic alliances and marketing, distribution or licensing arrangements. Adequate funding may not be available when needed or on terms acceptable to us, or at all.</w:t>
      </w:r>
    </w:p>
    <w:p>
      <w:pPr>
        <w:pStyle w:val="TextBody"/>
        <w:bidi w:val="0"/>
        <w:spacing w:before="0" w:after="120"/>
        <w:jc w:val="left"/>
        <w:rPr>
          <w:rFonts w:ascii="Times New Roman" w:hAnsi="Times New Roman"/>
          <w:sz w:val="20"/>
        </w:rPr>
      </w:pPr>
      <w:r>
        <w:rPr>
          <w:rFonts w:ascii="Times New Roman" w:hAnsi="Times New Roman"/>
          <w:color w:val="000000"/>
          <w:sz w:val="20"/>
        </w:rPr>
        <w:t>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Our ability to raise additional funds may be adversely impacted by the potential worsening of global economic conditions and the recent disruptions to, and volatility in, worldwide credit and financial markets, resulting from increased volatility in the trading prices for shares in the biopharmaceutical industry, or otherwise. Further, imposition of tariffs and other trade restrictions by the U.S., as well as reciprocal trade restrictions imposed by other countries, could adversely affect global economies, financial markets and the overall environment in which we do business, as further described in Part II, Item 1A, “</w:t>
      </w:r>
      <w:r>
        <w:rPr>
          <w:rFonts w:ascii="Times New Roman" w:hAnsi="Times New Roman"/>
          <w:i/>
          <w:color w:val="000000"/>
          <w:sz w:val="20"/>
        </w:rPr>
        <w:t>Risk Factors</w:t>
      </w:r>
      <w:r>
        <w:rPr>
          <w:rFonts w:ascii="Times New Roman" w:hAnsi="Times New Roman"/>
          <w:color w:val="000000"/>
          <w:sz w:val="20"/>
        </w:rPr>
        <w:t xml:space="preserve">” of this Quarterly Report on Form 10-Q. </w:t>
      </w:r>
    </w:p>
    <w:p>
      <w:pPr>
        <w:pStyle w:val="TextBody"/>
        <w:bidi w:val="0"/>
        <w:spacing w:before="0" w:after="120"/>
        <w:jc w:val="left"/>
        <w:rPr>
          <w:rFonts w:ascii="Times New Roman" w:hAnsi="Times New Roman"/>
          <w:sz w:val="20"/>
        </w:rPr>
      </w:pPr>
      <w:r>
        <w:rPr>
          <w:rFonts w:ascii="Times New Roman" w:hAnsi="Times New Roman"/>
          <w:color w:val="000000"/>
          <w:sz w:val="20"/>
        </w:rPr>
        <w:t>Cash, cash equivalents, and marketable securities were $239.2 million as of June 30, 2026. Based on our current operating plan, we expect this balance to fund operations into the second half of 2028. We have based our current estimate on assumptions that may prove to be wrong and that may change following our evaluation of our operating plan. We could use our available capital resources sooner than we currently anticipate, in which case we would be required to obtain additional financing, which may not be available to us on acceptable terms, or at all. See “—</w:t>
      </w:r>
      <w:r>
        <w:rPr>
          <w:rFonts w:ascii="Times New Roman" w:hAnsi="Times New Roman"/>
          <w:i/>
          <w:color w:val="000000"/>
          <w:sz w:val="20"/>
        </w:rPr>
        <w:t>Liquidity and Capital Resources</w:t>
      </w:r>
      <w:r>
        <w:rPr>
          <w:rFonts w:ascii="Times New Roman" w:hAnsi="Times New Roman"/>
          <w:color w:val="000000"/>
          <w:sz w:val="20"/>
        </w:rPr>
        <w: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2026 Private Placement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2026, we entered into a securities purchase agreement (the Securities Purchase Agreement) with certain institutional accredited investors (the Investors), including an affiliate of RA Capital Management L.P., pursuant to which we issued and sold to the Investors in a private placement an aggregate of 9,481,000 shares of our common stock at a price of $9.50 per share and, to certain Investors in lieu of shares, pre-funded warrants to purchase 2,106,000 shares of our common stock at a price of $9.4999 per pre-funded warrant (the 2026 Private Placement). We received aggregate net proceeds from the 2026 Private Placement of approximately $103.4 million, after deducting placement agent fees and other offering expenses.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operating expenses consist of research and development expenses and general and administrative expenses.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for our research and development activities, including development of our product candidates, budoprutug and CLYM116, and our previous product candidates, ETX-123 and ETX-155, consisting primarily of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employee-related expenses, such as salaries, bonuses, benefits, stock-based compensation, and termination benefits, for employees engaged in research and development functions;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expenses incurred in connection with the nonclinical and clinical development of our product candidates, including under agreements with CROs and consultants;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of third-party suppliers and manufacturers for material used in our development activities, including under agreements with contract development and manufacturing organizations (CDMOs);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facilities and other expenses, which include direct and allocated expenses including rent;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payments made under third-party licensing agreements.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expense research and development costs to operations as incurred.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direct research and development expenses are tracked on a program-by-program basis and consist primarily of external costs, such as fees paid to CDMOs, CROs, consultants and contractors, in connection with our nonclinical and clinical development activities. We do not allocate employee costs, costs associated with facility expenses, or other indirect costs, to specific programs because these costs are deployed across multiple product development programs and, as such, are not separately classified.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our research and development expenses to increase substantially for the foreseeable future as we conduct our ongoing research and development activities. The process of conducting nonclinical studies, acquiring drug product supply, and conducting clinical trials necessary to obtain regulatory approval is costly and time consuming. We may never succeed in achieving marketing approval for budoprutug, CLYM116, or any product candidate we may develop.</w:t>
      </w:r>
    </w:p>
    <w:p>
      <w:pPr>
        <w:pStyle w:val="TextBody"/>
        <w:bidi w:val="0"/>
        <w:spacing w:before="0" w:after="120"/>
        <w:jc w:val="left"/>
        <w:rPr>
          <w:rFonts w:ascii="Times New Roman" w:hAnsi="Times New Roman"/>
          <w:sz w:val="20"/>
        </w:rPr>
      </w:pPr>
      <w:r>
        <w:rPr>
          <w:rFonts w:ascii="Times New Roman" w:hAnsi="Times New Roman"/>
          <w:color w:val="000000"/>
          <w:sz w:val="20"/>
        </w:rPr>
        <w:t>The timelines and costs associated with research and development activities are uncertain and can vary significantly among product candidates and development programs due to the inherently unpredictable nature of nonclinical and clinical development. We anticipate that we will make determinations as to which indications to pursue in connection with our clinical development of budoprutug, CLYM116, or any product candidates we may develop and how much funding to direct to each such indication on an ongoing basis in response to nonclinical and clinical results, regulatory developments, and ongoing assessments as to each such indication’s commercial potential. Our future research and development costs may vary significantly and differ materially from expectations, and a change in the outcome of variables with respect to the development of budoprutug, CLYM116, or any product candidates we may develop could significantly change the costs and timing associated with such development. See the section titled “</w:t>
      </w:r>
      <w:r>
        <w:rPr>
          <w:rFonts w:ascii="Times New Roman" w:hAnsi="Times New Roman"/>
          <w:i/>
          <w:color w:val="000000"/>
          <w:sz w:val="20"/>
        </w:rPr>
        <w:t>Risk Factors—Risks Related to our Financial Position and Need for Additional Capital</w:t>
      </w:r>
      <w:r>
        <w:rPr>
          <w:rFonts w:ascii="Times New Roman" w:hAnsi="Times New Roman"/>
          <w:color w:val="000000"/>
          <w:sz w:val="20"/>
        </w:rPr>
        <w: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general and administrative expenses consist primarily of personnel-related expenses such as salaries, bonuses, benefits, stock-based compensation, and termination benefits, for our personnel in executive, finance and accounting, legal, human resources, business development, information technology and other administrative functions. Other significant general and administrative expenses include legal fees relating to corporate matters and intellectual property, professional fees for accounting, audit, regulatory, tax and consulting services, insurance costs, as well as investor and public relations costs.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for the foreseeable future, including increases in headcount as we continue to support our growth strategy and, if any product candidates receive marketing approval, commercialization activities, as well as to support our operations generally.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interest income consists of interest earned on our cash, cash equivalents and marketable securities, including amortization of purchase premiums and accretion of discounts of marketable securities.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Foreign Currency Gain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foreign currency gain (loss) consists of foreign exchange gains and losses resulting from remeasurement of foreign currency transactions to the U.S. Dollar.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following table sets forth our results of operations for the three and six months ended June 30, 2026 and 2025 </w:t>
      </w:r>
      <w:r>
        <w:rPr>
          <w:rFonts w:ascii="Times New Roman" w:hAnsi="Times New Roman"/>
          <w:i/>
          <w:color w:val="000000"/>
          <w:sz w:val="20"/>
        </w:rPr>
        <w:t>(in thousands)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2289"/>
        <w:gridCol w:w="346"/>
        <w:gridCol w:w="215"/>
        <w:gridCol w:w="752"/>
        <w:gridCol w:w="169"/>
        <w:gridCol w:w="148"/>
        <w:gridCol w:w="215"/>
        <w:gridCol w:w="752"/>
        <w:gridCol w:w="166"/>
        <w:gridCol w:w="146"/>
        <w:gridCol w:w="211"/>
        <w:gridCol w:w="631"/>
        <w:gridCol w:w="166"/>
        <w:gridCol w:w="146"/>
        <w:gridCol w:w="211"/>
        <w:gridCol w:w="736"/>
        <w:gridCol w:w="166"/>
        <w:gridCol w:w="146"/>
        <w:gridCol w:w="211"/>
        <w:gridCol w:w="736"/>
        <w:gridCol w:w="166"/>
        <w:gridCol w:w="146"/>
        <w:gridCol w:w="211"/>
        <w:gridCol w:w="631"/>
        <w:gridCol w:w="493"/>
      </w:tblGrid>
      <w:tr>
        <w:trPr/>
        <w:tc>
          <w:tcPr>
            <w:tcW w:w="22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following table sets forth our research and development expenses for the three and six months ended June 30, 2026 and 2025 </w:t>
      </w:r>
      <w:r>
        <w:rPr>
          <w:rFonts w:ascii="Times New Roman" w:hAnsi="Times New Roman"/>
          <w:i/>
          <w:color w:val="000000"/>
          <w:sz w:val="20"/>
        </w:rPr>
        <w:t>(in thousands)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2688"/>
        <w:gridCol w:w="446"/>
        <w:gridCol w:w="226"/>
        <w:gridCol w:w="613"/>
        <w:gridCol w:w="156"/>
        <w:gridCol w:w="156"/>
        <w:gridCol w:w="226"/>
        <w:gridCol w:w="613"/>
        <w:gridCol w:w="146"/>
        <w:gridCol w:w="146"/>
        <w:gridCol w:w="211"/>
        <w:gridCol w:w="571"/>
        <w:gridCol w:w="166"/>
        <w:gridCol w:w="146"/>
        <w:gridCol w:w="211"/>
        <w:gridCol w:w="676"/>
        <w:gridCol w:w="146"/>
        <w:gridCol w:w="146"/>
        <w:gridCol w:w="211"/>
        <w:gridCol w:w="676"/>
        <w:gridCol w:w="146"/>
        <w:gridCol w:w="146"/>
        <w:gridCol w:w="211"/>
        <w:gridCol w:w="631"/>
        <w:gridCol w:w="495"/>
      </w:tblGrid>
      <w:tr>
        <w:trPr/>
        <w:tc>
          <w:tcPr>
            <w:tcW w:w="26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Budoprutug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CLYM116</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Legacy programs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Research and development expenses increased from $6.6 million for the three months ended June 30, 2025 to $9.7 million for the three months ended June 30, 2026. The increase was primarily due to the increased spend associated with the advancement of our budoprutug and CLYM116 programs as well as increased personnel-related expenses to support such advancement.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Research and development expenses decreased from $23.9 million for the six months ended June 30, 2025 to $19.1 million for the six months ended June 30, 2026. The decrease was primarily due to the $9.0 million upfront payment and associated transaction costs made during the six months ended June 30, 2025 in connection with the Mabworks Agreement and our license of CLYM116 with no similar payment made during the six months ended June 30, 2026, partially offset by approximately $2.7 million of spend associated with the advancement of our clinical and preclinical pipeline as well as an additional $1.5 million in personnel-related expenses incurred during the six months ended June 30, 2026.</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increased from $4.1 million for the three months ended June 30, 2025 to $5.6 million for the three months ended June 30, 2026. The increase was primarily due to higher personnel-related expenses of $1.5 million, including increased stock-based compensation of $0.7 million, driven by increased headcount.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and administrative expenses increased from $9.8 million for the six months ended June 30, 2025 to $11.5 million for the six months ended June 30, 2026. The increase was primarily due to higher personnel-related expenses of $1.8 million, including increased stock-based compensation of $0.6 million, driven by increased headcount.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income decreased from $2.2 million for the three months ended June 30, 2025 to $1.9 million for the three months ended June 30, 2026, primarily due to lower returns earned on our marketable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income decreased from $4.5 million for the six months ended June 30, 2025 to $3.4 million for the six months ended June 30, 2026, primarily due to lower returns earned on our marketable securities.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Foreign Currency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Foreign currency (loss) was not material in either of the three and six months ended June 30, 2026 or 2025.</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our inception, we have primarily funded our operations with proceeds from the sale and issuance of shares of our redeemable convertible preferred stock, our IPO, the sale and issuance of shares of our common stock and pre-funded warrants to purchase shares of our common stock in private placements including the 2026 Private Placement. We have not generated any revenue from product sales or otherwise. We have incurred net losses from operations since our inception and anticipate we will continue to incur net losses for the foreseeable future. As of June 30, 2026, we had cash, cash equivalents and marketable securities of $239.2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2025, we entered into an Equity Distribution Agreement (the Distribution Agreement) with Oppenheimer &amp; Co. Inc., as sales agent (Oppenheimer), pursuant to which we may offer and sell shares of our common stock from time to time through Oppenheimer having an aggregate offering price of up to $22.4 million in an at the market offering. We terminated the Distribution Agreement effective as of June 11, 2026. We did not incur any termination penalties as a result of the termination of the Distribution Agreement. As of the effective date of the termination of the Distribution Agreement, we had not sold any shares of Common Stock pursuant to the Distribution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2026, we entered into an Open Market Sale Agreement℠ with Jefferies LLC, as sales agent, to provide for the issuance and sale of up to $100.0 million of our common stock from time-to-time in “at-the-market” offerings (the ATM Program). As of June 30, 2026, no sales had been made pursuant to the ATM Program.</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our cash flows (in thousands):</w:t>
      </w:r>
    </w:p>
    <w:tbl>
      <w:tblPr>
        <w:tblW w:w="6274" w:type="dxa"/>
        <w:jc w:val="left"/>
        <w:tblInd w:w="0" w:type="dxa"/>
        <w:tblLayout w:type="fixed"/>
        <w:tblCellMar>
          <w:top w:w="28" w:type="dxa"/>
          <w:left w:w="28" w:type="dxa"/>
          <w:bottom w:w="28" w:type="dxa"/>
          <w:right w:w="28" w:type="dxa"/>
        </w:tblCellMar>
      </w:tblPr>
      <w:tblGrid>
        <w:gridCol w:w="3566"/>
        <w:gridCol w:w="246"/>
        <w:gridCol w:w="211"/>
        <w:gridCol w:w="781"/>
        <w:gridCol w:w="166"/>
        <w:gridCol w:w="146"/>
        <w:gridCol w:w="211"/>
        <w:gridCol w:w="736"/>
        <w:gridCol w:w="211"/>
      </w:tblGrid>
      <w:tr>
        <w:trPr/>
        <w:tc>
          <w:tcPr>
            <w:tcW w:w="35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the six months ended June 30, 2026, net cash used in operating activities was $24.9 million, reflects our net loss of $27.2 million, non-cash adjustments totaling $2.5 million and a net change of $(0.2) million in our net operating assets and liabilities. Non-cash adjustments primarily related to stock-based compensation expense of $3.1 million, partially offset by net accretion of discounts on marketable securities of $0.7 million.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2025, net cash used in operating activities was $26.6 million, resulting from our net loss of $29.4 million, partially offset by $1.9 million in non-cash charges and cash provided by changes in our operating assets and liabilities of $0.9 million. Changes in our operating assets and liabilities primarily consisted of a decrease in prepaid expense and other current assets of $1.3 million and an increase in accounts payable and accrued expenses and other current liabilities of $1.1 million, partially offset by an increase in other long-term assets of $1.4 million.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2026, net cash used in investing activities was $70.2 million, consisting primarily of purchases of $127.5 million of marketable securities, offset by $57.5 million in proceeds received from maturities of marketable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2025, net cash used in investing activities was $38.0 million, consisting primarily of purchases of $79.4 million of marketable securities, partially offset by $41.5 million in proceeds received from maturities of marketable securities.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2026, net cash provided by financing activities was $103.7 million, consisting primarily of net proceeds related to the 2026 Private Placement of $103.4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2025, there were no financing activities.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Cash, cash equivalents, and marketable securities were $239.2 million as of June 30, 2026. Based on our current operating plan, we expect this balance to fund operations into the second half of 2028. We have based our current estimate on assumptions that may prove to be wrong and that may change following our evaluation of our operating plan. We could exhaust our available capital resources sooner than we expect. We anticipate that our expenses will increase for the foreseeable future as we continue to advance our current product candidates </w:t>
      </w:r>
      <w:r>
        <w:rPr>
          <w:rFonts w:ascii="Times New Roman" w:hAnsi="Times New Roman"/>
          <w:color w:val="231F20"/>
          <w:sz w:val="20"/>
        </w:rPr>
        <w:t>and any product candidates we may develop</w:t>
      </w:r>
      <w:r>
        <w:rPr>
          <w:rFonts w:ascii="Times New Roman" w:hAnsi="Times New Roman"/>
          <w:color w:val="000000"/>
          <w:sz w:val="20"/>
        </w:rPr>
        <w:t xml:space="preserve">, expand our corporate infrastructure, and incur costs associated with potential commercialization.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subject to all of the risks typically related to the development of biopharmaceutical candidates, and we may encounter unforeseen expenses, difficulties, complications, delays, and other unknown factors that may adversely affect our business. Our future funding requirements will depend on many factors, including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and scope of development, nonclinical and clinical programs we decide to pursue, and the timing, cost and progress of activities related to such programs;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progress, costs and results of our clinical trials of budoprutug in pMN, ITP, and SLE, our clinical trial of the SC formulation of budoprutug, our clinical trials of CLYM116, and any future clinical trials of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of manufacturing our product candidates by third parties;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terms of any collaborations, license or research and development agreements we may enter into;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of regulatory requirements, regulatory submissions and timing of regulatory approvals;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potential delays in our development programs and clinical trial activities due to the effects of global events, including macroeconomic conditions and supply chain disruptions;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inflationary pressures on salaries and wages, and costs of goods and transportation expenses, including the impact of tariffs and other trade restrictions;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of commercialization activities if any of our product candidates are approved for sale, including marketing, sales and distribution costs;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efforts to enhance operational systems and hire personnel to support development of budoprutug, CLYM116, or any product candidates we may develop.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Furthermore, our operating plans may change, and we may need additional funds to meet operational needs and capital requirements for clinical trials and other research and development expenditures. Until such time, if ever, as we can generate substantial revenue from product sales, we may finance our operations through equity offerings, debt financings, collaborations, strategic alliances and marketing, distribution or licensing arrangements. However, we may be unable to raise additional funds or enter into such other arrangements when needed or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our product candidates or grant licenses on terms that may not be favorable to us and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budoprutug, CLYM116, or </w:t>
      </w:r>
      <w:r>
        <w:rPr>
          <w:rFonts w:ascii="Times New Roman" w:hAnsi="Times New Roman"/>
          <w:color w:val="231F20"/>
          <w:sz w:val="20"/>
        </w:rPr>
        <w:t xml:space="preserve">any product candidates we may develop </w:t>
      </w:r>
      <w:r>
        <w:rPr>
          <w:rFonts w:ascii="Times New Roman" w:hAnsi="Times New Roman"/>
          <w:color w:val="000000"/>
          <w:sz w:val="20"/>
        </w:rPr>
        <w:t xml:space="preserve">even if we would otherwise prefer to develop and market such </w:t>
      </w:r>
      <w:r>
        <w:rPr>
          <w:rFonts w:ascii="Times New Roman" w:hAnsi="Times New Roman"/>
          <w:color w:val="231F20"/>
          <w:sz w:val="20"/>
        </w:rPr>
        <w:t xml:space="preserve">product candidates </w:t>
      </w:r>
      <w:r>
        <w:rPr>
          <w:rFonts w:ascii="Times New Roman" w:hAnsi="Times New Roman"/>
          <w:color w:val="000000"/>
          <w:sz w:val="20"/>
        </w:rPr>
        <w:t>ourselves.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Contractual Commitments and Obligations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no material changes to our cash requirements from those disclosed in our Annual Report on Form 10-K for the year ended December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management’s discussion and analysis of our financial condition and results of operations is based on our unaudited condensed consolidated financial statements, which have been prepared in accordance with accounting principles generally accepted in the United States (U.S. GAAP). The preparation of our unaudited condensed consolidated financial statements in conformity with U.S. GAAP requires us to make estimates and assumptions that affect the amounts reported in the unaudited condensed consolidated financial statements and notes to the unaudited condensed consolidated financial statements. Some of those judgments can be subjective and complex, and therefore, actual results could differ materially from those estimates under different assumptions and conditions.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disclosed in our audited consolidated financial statements and notes thereto as of and for the year ended December 31, 2025 included in our Annual Report.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Significant Accounting Policies</w:t>
      </w:r>
      <w:r>
        <w:rPr>
          <w:rFonts w:ascii="Times New Roman" w:hAnsi="Times New Roman"/>
          <w:color w:val="000000"/>
          <w:sz w:val="20"/>
        </w:rPr>
        <w:t>, to our unaudited condensed consolidated financial statements included in this Quarterly Report.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Implications of Being an "Emerging Growth Company" and "Smaller Reporting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an emerging growth company, as defined in the JOBS Act. Under the JOBS Act, emerging growth companies can delay adopting new or revised accounting standards issued after the enactment of the JOBS Act until those standards apply to private companies. Other exemptions and reduced reporting requirements under the JOBS Act for emerging growth companies include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 We will cease to be an emerging growth company on December 31, 2026.</w:t>
      </w:r>
    </w:p>
    <w:p>
      <w:pPr>
        <w:pStyle w:val="TextBody"/>
        <w:bidi w:val="0"/>
        <w:jc w:val="left"/>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was less than $700 million as of the last business day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$250.0 million as of the last business day of our most recently completed second fiscal quarter or (ii) our annual revenue was less than $100.0 million during the most recently completed fiscal year and the market value of our stock held by non-affiliates is less than $700.0 million as of the last business day of our most recently completed second fiscal quarter.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 and other requirements that are applicable to other public companies that are not smaller reporting companies.</w:t>
      </w:r>
    </w:p>
    <w:p>
      <w:pPr>
        <w:pStyle w:val="TextBody"/>
        <w:bidi w:val="0"/>
        <w:spacing w:before="120" w:after="120"/>
        <w:jc w:val="left"/>
        <w:rPr>
          <w:rFonts w:ascii="Times New Roman" w:hAnsi="Times New Roman"/>
          <w:b/>
          <w:color w:val="000000"/>
          <w:sz w:val="20"/>
        </w:rPr>
      </w:pPr>
      <w:bookmarkStart w:id="10" w:name="item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requested by this item pursuant to Item 305(e) of Regulation S-K.</w:t>
      </w:r>
    </w:p>
    <w:p>
      <w:pPr>
        <w:pStyle w:val="TextBody"/>
        <w:bidi w:val="0"/>
        <w:spacing w:before="0" w:after="120"/>
        <w:jc w:val="left"/>
        <w:rPr>
          <w:rFonts w:ascii="Times New Roman" w:hAnsi="Times New Roman"/>
          <w:b/>
          <w:color w:val="000000"/>
          <w:sz w:val="20"/>
        </w:rPr>
      </w:pPr>
      <w:bookmarkStart w:id="11" w:name="item4_controls_and_procedures"/>
      <w:bookmarkEnd w:id="11"/>
      <w:r>
        <w:rPr>
          <w:rFonts w:ascii="Times New Roman" w:hAnsi="Times New Roman"/>
          <w:b/>
          <w:color w:val="000000"/>
          <w:sz w:val="20"/>
        </w:rPr>
        <w:t>Item 4. Controls and Procedures.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Disclosure controls and procedures (as defined in Rules 13a-15(e) and 15d-15(e) under the Exchange Act)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(our principal executive officer) and chief financial officer (our principal financial officer) or persons performing similar functions, as appropriate to allow timely decisions regarding required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management, under the supervision and with the participation of our chief executive officer and chief financial officer (our principal executive officer and principal financial officer, respectively), evaluated the effectiveness of our disclosure controls and procedures as of June 30, 2026. Based on our evaluation, our chief executive officer and chief financial officer have concluded that our disclosure controls and procedures (as such term is defined in Rules 13a-15(e) and 15d-15(e) under the Exchange Act) were not effective as of June 30, 2026 because of the material weaknesses in our internal control over financial reporting described below.</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Notwithstanding the material weaknesses, management believes the unaudited condensed consolidated financial statements included in Part I of this Quarterly Report present fairly, in all material respects, our financial condition, results of operations and cash flows as of and for the periods presented in accordance with generally accepted accounting principles in the United States.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Material Weaknesses in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connection with the preparation of our consolidated financial statements for the year ended December 31, 2020, we identified material weaknesses in our internal control over financial reporting, two of which remain unremediated as of June 30, 2026. A material weakness is a deficiency or combination of deficiencies in internal control over financial reporting such that there is a reasonable possibility that a material misstatement of the annual or interim consolidated financial statements will not be prevented or detected on a timely basis. The material weaknesses are as follows: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did not design or maintain an effective control environment. Specifically, we lacked a sufficient number of professionals with an appropriate level of accounting knowledge, training and experience to appropriately analyze, record and disclose accounting matters commensurate with accounting and reporting requirements. The lack of personnel contributed to the following material weakness.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did not design and maintain formal accounting policies, procedures and controls to achieve complete, accurate and timely financial accounting, reporting and disclosures, including segregation of duties and controls over the preparation and review of journal entries, account reconciliations and consolidation.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material weaknesses did not result in a misstatement to the unaudited condensed consolidated financial statements. However, these material weaknesses could result in a misstatement of our account balances or disclosures that would result in a material misstatement of our annual or interim consolidated financial statements that would not be prevented or detected.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Remediation Efforts to Address Material Weaknesses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Management has concluded that the material weaknesses in internal control over financial reporting were due to the fact that we were a private company with limited resources when the material weaknesses were identified for the year ended December 31, 2020, and did not have the necessary business processes and related internal controls formally designed and implemented, coupled with the appropriate resources with the appropriate level of experience and technical expertise, to oversee our business processes and controls.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implemented measures designed to improve internal control over financial reporting to remediate the control deficiencies that led to our material weaknesses. The remediation measures we have taken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Hired qualified personnel with appropriate expertise to perform specific functions and ensure adequate segregation of key duties and responsibilities;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and implemented improved policies, processes, and internal controls, including senior management review and audit committee oversight, to achieve complete, accurate and timely financial accounting, reporting and disclosures;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Implemented and formalized policies, processes, and internal controls to identify and assess complex accounting transactions and other technical accounting and financial reporting matters;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Implemented financial systems to improve segregation of duties and controls and reliability of system generated data.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we have made substantial progress toward achieving the effectiveness of our internal control over financial reporting and disclosure controls and procedures. The actions that have been taken are subject to continued review and testing by management as well as oversight by the audit committee of our board of directors. We will not be able to conclude whether the steps we have taken will fully remediate these material weaknesses in our internal control over financial reporting until we have completed our remediation efforts and subsequent evaluation of their effectiveness.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not been any changes in our internal control over financial reporting (as such term is defined in Rules 13a-15(f) and 15d-15(f) under the Exchange Act) during the quarter to which this Quarterly Report relates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with respect to legal proceedings is described in Note 6 "Commitments and Contingencies" in the Notes to the Unaudited Condensed Consolidated Financial Statements contained in Part I, Item I of this Quarterly Report, which is incorporated herein by reference.</w:t>
      </w:r>
    </w:p>
    <w:p>
      <w:pPr>
        <w:pStyle w:val="TextBody"/>
        <w:bidi w:val="0"/>
        <w:spacing w:before="360" w:after="283"/>
        <w:jc w:val="left"/>
        <w:rPr>
          <w:rFonts w:ascii="Times New Roman" w:hAnsi="Times New Roman"/>
          <w:b/>
          <w:color w:val="000000"/>
          <w:sz w:val="20"/>
        </w:rPr>
      </w:pPr>
      <w:bookmarkStart w:id="14" w:name="ii_item1a"/>
      <w:bookmarkEnd w:id="14"/>
      <w:r>
        <w:rPr>
          <w:rFonts w:ascii="Times New Roman" w:hAnsi="Times New Roman"/>
          <w:b/>
          <w:color w:val="000000"/>
          <w:sz w:val="20"/>
        </w:rPr>
        <w:t>Item 1A. Risk Factors.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FACTORS</w:t>
      </w:r>
    </w:p>
    <w:p>
      <w:pPr>
        <w:pStyle w:val="TextBody"/>
        <w:bidi w:val="0"/>
        <w:jc w:val="left"/>
        <w:rPr>
          <w:rFonts w:ascii="Times New Roman" w:hAnsi="Times New Roman"/>
          <w:sz w:val="20"/>
        </w:rPr>
      </w:pPr>
      <w:r>
        <w:rPr>
          <w:rFonts w:ascii="Times New Roman" w:hAnsi="Times New Roman"/>
          <w:i/>
          <w:color w:val="000000"/>
          <w:sz w:val="20"/>
        </w:rPr>
        <w:t>The following information sets forth risk factors that could cause our actual results to differ materially from those contained in forward-looking statements we have made in this Quarterly Report and those we may make from time to time. You should carefully consider the risks described below, in addition to the other information contained in this Quarterly Report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expect to continue to incur substantial losses for the foreseeable future and may never achieve or sustain profitability.</w:t>
      </w:r>
    </w:p>
    <w:p>
      <w:pPr>
        <w:pStyle w:val="TextBody"/>
        <w:bidi w:val="0"/>
        <w:spacing w:before="120" w:after="240"/>
        <w:jc w:val="left"/>
        <w:rPr>
          <w:rFonts w:ascii="Times New Roman" w:hAnsi="Times New Roman"/>
          <w:sz w:val="20"/>
        </w:rPr>
      </w:pPr>
      <w:r>
        <w:rPr>
          <w:rFonts w:ascii="Times New Roman" w:hAnsi="Times New Roman"/>
          <w:color w:val="231F20"/>
          <w:sz w:val="20"/>
        </w:rPr>
        <w:t xml:space="preserve">We are a clinical-stage biotechnology company with a limited operating history. Our efforts are focused primarily on the treatment of unmet needs in </w:t>
      </w:r>
      <w:r>
        <w:rPr>
          <w:rFonts w:ascii="Times New Roman" w:hAnsi="Times New Roman"/>
          <w:color w:val="000000"/>
          <w:sz w:val="20"/>
        </w:rPr>
        <w:t xml:space="preserve">immune-mediated diseases. We are initially developing our lead product candidate budoprutug in pMN, ITP and SLE. In addition, in January 2025, we expanded our pipeline of B-cell targeted therapeutics by entering into the Mabworks Agreement, pursuant to which Mabworks granted us licenses to develop, manufacture and commercialize CLYM116, an anti-APRIL monoclonal antibody, and products containing CLYM116. </w:t>
      </w:r>
    </w:p>
    <w:p>
      <w:pPr>
        <w:pStyle w:val="TextBody"/>
        <w:bidi w:val="0"/>
        <w:jc w:val="left"/>
        <w:rPr>
          <w:rFonts w:ascii="Times New Roman" w:hAnsi="Times New Roman"/>
          <w:sz w:val="20"/>
        </w:rPr>
      </w:pPr>
      <w:r>
        <w:rPr>
          <w:rFonts w:ascii="Times New Roman" w:hAnsi="Times New Roman"/>
          <w:color w:val="000000"/>
          <w:sz w:val="20"/>
        </w:rPr>
        <w:t xml:space="preserve">To date, we have not received regulatory approvals for any of our product candidates or generated any revenue from product sales. We do not expect to generate revenue from product sales for the foreseeable future. Budoprutug and CLYM116 are both in early stages of research and development. </w:t>
      </w:r>
      <w:r>
        <w:rPr>
          <w:rFonts w:ascii="Times New Roman" w:hAnsi="Times New Roman"/>
          <w:color w:val="231F20"/>
          <w:sz w:val="20"/>
        </w:rPr>
        <w:t xml:space="preserve">As a result, we are not profitable, and we </w:t>
      </w:r>
      <w:r>
        <w:rPr>
          <w:rFonts w:ascii="Times New Roman" w:hAnsi="Times New Roman"/>
          <w:color w:val="000000"/>
          <w:sz w:val="20"/>
        </w:rPr>
        <w:t xml:space="preserve">have incurred significant operating losses since inception and expect to continue to incur substantial losses, including expenses incurred to advance the development of budoprutug and CLYM116, conduct clinical trials, pursue regulatory approvals, maintain, expand, and protect our intellectual property portfolio, operate as a public company, potentially acquire or in-license other technologies, and build the capabilities necessary for potential commercialization of our product candidates, if approved. Our net losses totaled $13.5 million and $27.2 million for the three and six months ended June 30, 2026, respectively. As of June 30, 2026, we had an accumulated deficit of $316.9 million. We may never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access capital when needed, it could force us to delay, reduce or terminate our product candidate development programs, commercialization efforts, or other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nonclinical studies and clinical trials, obtaining regulatory approvals, and preparing for potential commercialization are costly, time-consuming, and subject to significant uncertainty. Cash, cash equivalents, and marketable securities were $239.2 million as of June 30, 2026. Based on our current operating plan, we expect this balance to fund operations into the second half of 2028. We have based our current estimate on assumptions that may prove to be wrong and that may change following our evaluation of our operating plan. We could exhaust our available capital resources sooner than we expect. In addition, our operating plan may change, and we may require additional capital sooner than anticipated. Our future need for additional funding depends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development, nonclinical and clinical programs we decide to pursue, and the timing, cost and progress of activities related to such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and results of our clinical trials of budoprutug in pMN, ITP, and SLE, our clinical trial of the SC formulation of budoprutug, our clinical trials of CLYM116, and any future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our product candidates by third parties;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collaborations, license or research and development agreements we may enter into;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regulatory requirements, regulatory submissions and timing of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delays in our development programs and clinical trial activities due to the effects of global events, including macroeconomic conditions and 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inflationary pressures on salaries and wages, and costs of goods and transportation expenses, including the impact of tariffs and other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commercialization activities if any of our product candidates are approved for sale, including marketing, sales and distribution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hire personnel to support the development of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be certain that additional funding will be available on acceptable terms, or at all. Our ability to raise additional capital may be adversely impacted by disruptions to, or continuing volatility in, the credit and financial markets in the U.S. and worldwide, including increased volatility in the trading prices for shares of public companies in the biopharmaceutical sector, actual and perceived changes in interest rates and inflation, macroeconomic uncertainties, or otherwise.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our product candidates.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Until such time, if ever, as we can generate substantial revenues from product sales,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common stock, convertible securities or other equity securities, our stockholders’ ownership interest may be diluted, and the terms of these securities could include liquidation or other preferences and anti-dilution protections that could adversely affect the rights of a common stockholder.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Further,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Additional capital may not be available to us, or even if it is, the cost of such capital may be high.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Further, we have issued, and may in the future issue additional, equity securities as consideration for business development transactions, which may also dilute our existing stockholders’ ownership interests. For example, we issued additional shares of our common stock in connection with our acquisition (the Acquisition) of Tenet Medicines, Inc. (Tenet), and in the concurrent private placement (the Acquisition Private Placement) as well as shares of our common stock and pre-funded warrants to purchase shares of our common stock in the 2026 Private Placement.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our product candidates that we would otherwise prefer to develop and market ourselves.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currently have no source of product revenue and may never become profitable.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never commercialized a product or generated any revenues from commercial product sales, or otherwise, and we may never become profitable. Our ability to generate revenue from product sales or achieve profitability will depend upon our ability, alone or with any future collaborators, to successfully commercialize our product candidates or any products that we may develop, in-license or acquire in the future. Even if we are able to successfully achieve regulatory approval for our product candidates, we do not know when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product candidates will generate revenue from product sales for us, if at all. Our ability to generate revenue also depends on a number of additional factors, including our or any current or future collaborators’ ability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complete and submit INDs to the FDA that allow commencement of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complete development activities, including the necessary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complete and submit biologics license applications (BLAs) to the FDA and obtain regulatory approval for indications for which there is a commercial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complete and submit applications to, and obtain regulatory approval from,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a commercially viable price for any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supply and manufacturing relationships with third parties, and ensure adequate and legally compliant manufacturing of bulk drug substances and drug products to maintain that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 commercial organization capable of sales, marketing and distribution for any products for which we obtain marketing approval and intend to sell ourselves in the markets in which we choose to commercialize on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find suitable distribution partners to help us market, sell and distribute our approved products in other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coverage and adequate reimbursement from third-party payors, including government and private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for any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maintain and protect our intellectual property rights;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of the numerous risks and uncertainties associated with pharmaceutical product development, our product candidates may not advance through development or achieve the endpoints of applicable clinical trials.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trials in addition to those that we currently anticipate. Even if we can complete the development and regulatory process for our product candidates, we anticipate incurring significant costs associated with commercializing any such products. Even if we can generate revenue from the sale of any of our product candidates that may be approved, we may not become profitable.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required to make significant payments in connection with our license agreements, which could strain our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required to make significant payments under our license and asset purchase agreements, including development, regulatory, commercial and sales</w:t>
        <w:noBreakHyphen/>
        <w:t xml:space="preserve">based milestone, and royalty payments. These obligations may be substantial and strain our capital resources, and we may not have sufficient funds when payments become due. If we fail to meet payment or diligence obligations, licensors may terminate the agreements, resulting in the loss of rights to budoprutug, CLYM116 or any other product candidate we may license.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Acquisition, certain legacy Tenet agreements effectively became agreements of ours, including the Asset Purchase Agreement with Acelyrin, the CRH Agreement, and a cell line development, manufacturing services and license agreement with ProBioGen AG. In addition, in January 2025, we entered into the Mabworks Agreement, pursuant to which we obtained licenses to develop, manufacture and commercialize CLYM116, and products containing CLYM116, in certain territories.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obligated to make significant future payments under these agreements, including obligations to pay certain contingent development, commercial, sales and regulatory milestones and royalties, as well as other obligations, as applicable. Certain of these agreements set forth specific development, regulatory and commercial events, the occurrence of which would result in related payments that we would be obligated to make. These potential obligations represent significant cash amounts that we may ultimately be obligated to pay. We cannot guarantee that we will have sufficient funds available to meet these obligations if and when these payments become due. The obligation to pay some or all of these milestone and royalty amounts may materially harm our development efforts, as well as our overall financial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the Development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success is dependent on the regulatory approval and commercialization of our product candidates, and if we are unable to successfully develop and commercialize our product candidates, or experience any delay in doing so, our business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depends on developing our product candidates, obtaining regulatory approval and successfully commercializing our product candidates. Delays or failures in clinical development, regulatory review, or commercialization could prevent or delay us from generating revenue or achieving profitability. Regulatory approval processes are lengthy, complex, and inherently uncertain, and regulatory expectations may evolve during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any product candidates that have gained regulatory approval, and we are substantially dependent on the success of budoprutug and CLYM116. As a result, our prospects, including our ability to finance our operations and generate revenue, are dependent on our ability to obtain regulatory approval for budoprutug and CLYM116, and, if approved, to successfully commercialize budoprutug and CLYM116. We cannot commercialize our product candidates or any product candidates we may develop in the U.S. without first obtaining regulatory approval for the product from the FDA; similarly, we cannot commercialize our product candidates or any product candidates we may develop outside of the U.S. without obtaining regulatory approval from comparable foreign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Prescription Drug User Fee Act (PDUFA), the FDA’s standard review process for a BLA is meant to take 10 months from the date a BLA is accepted for filing, but that process may take longer to complete, and FDA approval is never guaranteed. Before obtaining regulatory approvals for the commercial sale of our product candidates for a target indication, we must demonstrate with substantial evidence gathered in nonclinical and well-controlled clinical trials, and, with respect to approval in the U.S., to the satisfaction of the FDA, that the product candidate is potent, safe and pure for use for that target indication and that the manufacturing facilities, processes and controls are adequate. If our product candidates encounter undesirable safety signals, insufficient efficacy results, development delays, regulatory issues or other problems, our development plans and business would be significantly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approved, our products may be subject to post</w:t>
        <w:noBreakHyphen/>
        <w:t xml:space="preserve">approval requirements, limitations on use, labeling changes, safety monitoring, or withdrawal or changes in law, guidance, or waiver from the FDA. A deferral of the requirement to conduct pediatric studies may be granted for several reasons, including a finding that the product or therapeutic candidate is ready for approval for use in adults before pediatric trials are complete or that additional safety, potency and purity data need to be collected before the pediatric trials begin.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Additionally, pediatric studies may be required pursuant to the Pediatric Research Equity Act (PREA) or comparable foreign requirements.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For any of our product candidates for which we seek regulatory approval in the U.S. or the European Union (EU), we cannot guarantee that we will be able to obtain a waiver or alternatively complete any required studies and other requirements in a timely manner, or at all, which could result in an issuance and publication of a PREA Non-Compliance letter and associated reputational harm, our product candidate being considered misbranded and, subject to relevant enforcement action, invalidation of the marketing application, and financial penalties.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applicable legislation in the EU also requires sponsors to either conduct clinical trials in a pediatric population in accordance with a Pediatric Investigation Plan approved by the Pediatric Committee (Committee) of the European Medicines Agency (EMA) or to obtain a waiver or deferral from the conduct of these studies by this Committee. For any product candidates for which we seek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Obtaining regulatory approval for marketing of our product candidates in one country does not ensure we will be able to obtain regulatory approval in other countries, but a failure or delay in obtaining regulatory approval in one country may have a negative effect on the regulatory process in other countries.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our product candidates were to successfully obtain approval from the FDA and comparable foreign regulatory authorities, any approval might contain significant limitations related to use restrictions for specified age groups, gender or subpopulation of target indication, warnings, precautions or contraindications, or may be subject to burdensome post-approval study or risk management requirements, obligations, or review timelines. If we are unable to obtain regulatory approval for one or more jurisdictions, or an approval contains significant limitations, we may not be able to obtain sufficient funding or generate sufficient revenue to continue the development of budoprutug, CLYM116 or any product candidate that we may discover, in-license, develop or acquire. Also, any regulatory approval of our product candidates, once obtained, may be withdrawn.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even if we obtain regulatory approval for any of our product candidates, such product’s commercial success will depend on a number of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of a commercial organization or establishment of a commercial collaboration with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commercially viable pricing and adequate reimbursement from third-party and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third-party manufacturers to manufacture quantities of such product in commercially sufficient processes and at a scale sufficient to meet anticipated demand and enable us to reduce our cost of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in educating physicians and patients about the benefits, administration and use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perceived advantages, relative cost, relative safety and relative efficacy of alternative and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own or our potential strategic collaborators’ marketing, sales and distribution strategy and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such product as potent, safe and pure by patients and the medical community;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continued acceptable safety profile of such product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these factors are beyond our control. If we, or our potential commercialization collaborators, are unable to successfully commercialize our product candidates, we may not be able to earn sufficient revenue to continue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our product candidates receive regulatory approval, they may still face future development and regulatory difficulties.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obtain regulatory approval for any of our product candidates,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and efficacy profile of any product will continue to be closely monitored by the FDA and comparable foreign regulatory authorities after approval. If the FDA or comparable foreign regulatory authorities become aware of new safety and/or efficacy information after approval of such product candidate, they may require labeling changes or establishment of a Risk Evaluation and Mitigation Strategy (REMS) or similar strategy, impose significant restrictions on a product’s indicated uses or marketing, or impose ongoing requirements for potentially costly post-approval studies or post-market surveillance.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inspections by the FDA and other regulatory authorities for compliance with current good manufacturing practice (cGMP) requirements and other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such product candidates, fail to comply with applicable regulatory requirements, a regulatory agency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warning letters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the marketing or manufacturing of such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mandate modifications to promotional materials or require us to provide corrective information to healthcare practitioners;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or any future collaborator to enter into a consent decree, which can include imposition of various fines, reimbursements for inspection costs, required due dates for specific remediation actions and penalties for noncompliance;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an injunction or impose civil or criminal penalties or monetary fines;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applications filed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refuse to permit the import or export of products, or require us to initiate a product recall.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if approved, and generate revenue. The FDA strictly regulates the advertising and promotion of drug products, and drug products may only be marketed or promoted for their FDA approved uses, consistent with the product’s approved labeling. Violations may lead to civil, criminal and administrative sanctions by the FDA or other enforcement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Advertising and promotion of any product candidate that obtains approval in the U.S. will be heavily scrutinized by the FDA, the Department of Justice, the Office of Inspector General of the U.S. Department of Health and Human Services (HHS), state attorneys general, members of Congress and the public. For example, the FDA stated in September 2025 that it intends to more aggressively enforce requirements for direct-to-consumer drug advertising and sent a significant number of warning and untitled letters to pharmaceutical companies alleging deceptive prescription drug advertising, which represents a dramatic increase in FDA actions compared to prior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advertising and promotion of any product candidate that obtains approval outside of the U.S. will be heavily scrutinized by relevant foreign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Existing government regulations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or be subject to fines or enhanced government oversight and reporting obligations, which would adversely affect our business, prospects and ability to achieve or sustain profitability.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Preliminary, initial, or interim results from clinical trials that we announce, present, or publish from time to time may change as more data and information become available (or are updated based upon audit, validation and verification procedures of the data/information commonly performed for clinical trials) that could result in material changes in the final trial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announce, present or publish preliminary, initial, or interim data or other information from our clinical trials, such as the initial Phase 1b data we announced from the Phase 1b/2a clinical trial of budoprutug in patients with ITP. Any such data and other results from our clinical trials may materially change as more patient data and information become available. Such data and information may also undergo significant change following subsequent auditing, validation and verification procedures that are commonly conducted in clinical trials. Thus, any preliminary, initial, or interim data or other information may not be predictive of final results from the clinical trial and should be viewed with caution until the final data are available. We may also arrive at different conclusions, or other determinations that may qualify such results, once we have received and fully evaluated the additional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Differences between preliminary, initial or interim results and final results could lead to significantly different interpretations or conclusions of the trial outcomes. Further, others, including regulatory authorities and collaboration or regional partners, may not accept or agree with our assumptions, estimates, calculations, conclusions or analyses or may interpret or weigh the importance of data differently, which could impact the value of our product candidates, the approvability or commercialization of our product candidates, and our business, in general. In addition, the information we choose to publicly disclose regarding a particular clinical trial is based on what is typically extensive information, and investors may not agree with what we determine is material or otherwise appropriate information to publicly disclose.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preliminary, initial or interim data that we report differ from actual results, or if others, including regulatory authorities, disagree with the conclusions reached, our ability to obtain approval for, and commercialize our product candidates may be harmed, which could significantly harm our reputation, business, results of operations, financial condition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Nonclinical and clinical development involves a lengthy, complex and expensive process with an uncertain outcome. The outcome of nonclinical testing and early clinical trials may not be predictive of the success of later clinical trials, and the results of our clinical trials may not satisfy the requirements of the FDA or comparable foreign regulatory authorities. Further, clinical development in immunology and autoimmune diseases presents inherent challenges, which may delay or impair our ability to demonstrate clinical benefit and obtain regulatory approval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commercialize our product candidates, we must demonstrate through extensive nonclinical studies and clinical trials that such product candidates are potent, safe and pure in humans to the satisfaction of the FDA. Clinical testing is expensive and can take many years to complete, and its outcome is inherently uncertain.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 product candidate can fail at any stage of testing, even after observing promising signs of activity in earlier nonclinical studies or clinical trials. The results of nonclinical studies and early clinical trials of our product candidates may not be predictive of the results of later-stage clinical trials.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w:t>
      </w:r>
    </w:p>
    <w:p>
      <w:pPr>
        <w:pStyle w:val="TextBody"/>
        <w:bidi w:val="0"/>
        <w:jc w:val="left"/>
        <w:rPr>
          <w:rFonts w:ascii="Times New Roman" w:hAnsi="Times New Roman"/>
          <w:color w:val="000000"/>
          <w:sz w:val="20"/>
        </w:rPr>
      </w:pPr>
      <w:r>
        <w:rPr>
          <w:rFonts w:ascii="Times New Roman" w:hAnsi="Times New Roman"/>
          <w:color w:val="000000"/>
          <w:sz w:val="20"/>
        </w:rPr>
        <w:t>Further, clinical development in immunology and autoimmune diseases, including pMN, ITP, SLE, and IgAN, presents inherent challenges, such as heterogeneous disease courses, variable endpoints, competition to enroll patients in trials, background therapy effects, and long-duration studies, which may delay or impair our ability to demonstrate clinical benefit and obtain regulatory approval for our product candidates. Regulators may require additional studies, protocol modifications, or changes to endpoints, and guidance from regulators can evolve, which could affect our development plans and timing. Manufacturing scale</w:t>
        <w:noBreakHyphen/>
        <w:t>up, assay validation, and process comparability for biologics can also delay trials or approvals. Any delays could increase our costs, shorten any effective exclusivity periods we may obtain for a product candidate, and enable competitors to reach the market earlier than us, reducing commercial viability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number of companies in the biotechnology industry have suffered significant setbacks in advanced clinical trials due to lack of efficacy or emergence of unacceptable safety issues, notwithstanding promising results in earlier trials. Most product candidates that commence clinical trials are never approved and there can be no assurance that any of our future clinical trials will ultimately be successful or support further nonclinical or clinical development of our product candidates. Our success is dependent on the progress and outcomes of our development efforts, including our clinical trials of budoprutug for pMN, ITP and SLE, our clinical trial of the SC formulation of budoprutug, and our clinical trials of CLYM116. In addition, the commencement and rate of completion of nonclinical studies and clinical trials may be delayed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generate sufficient nonclinical or other in vivo or in vitro data to support the initiation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nonclinical studies or clinical trials may show a product candidate to be less effective than expected (e.g., a clinical trial could fail to meet its primary endpoint(s)) or have unacceptable side effects or toxicities;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establish clinical endpoints that applicable regulatory authorities would consider clinically meaningful;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identifying, recruiting and training suitable clinical investigators;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differences in trial design between early-stage clinical trials and later-stage clinical trials make it difficult to extrapolate the results of earlier clinical trials to later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authorities on trial design and any nonclinical studies required in support of our product candidates and the potential for a delay in site initiations;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recruiting suitable patients to participate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manufacturing, testing, releasing, validating or importing/exporting sufficient stable quantities of our product candidates we may develop for use in nonclinical studies or clinical trials or the inability to do any of the foregoing;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insufficient or inadequate supply or quality of our product candidates or other materials necessary for use in nonclinical studies or clinical trials, or delays in sufficiently developing, characterizing or controlling a manufacturing process suitable for such studies or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a temporary or permanent clinical hold by regulatory authorities;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on trials conducted by competitors for related technology that raise FDA or foreign regulatory authority concerns about risk to patients of the technology broadly, or if the FDA or a foreign regulatory authority finds that the investigational protocol or plan is clearly deficient to meet its stated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recruiting, screening and enrolling patients and delays caused by patients withdrawing from clinical trials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collaborating with patient groups and investigators;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our CROs, other third parties or us to adhere to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perform in accordance with the FDA’s or any other regulatory authority’s good clinical practices (GCP) or applicable regulatory guidelines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adverse events associated with any of our product candidates that are viewed to outweigh such product candidate’s potential benefits, or occurrence of adverse events in trial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nonclinical studies and clinical trials of our product candidates being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producing negative or inconclusive results, which may result in our deciding, or regulators requiring us, to conduct additional clinical trials or abandon development of such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clinical hold by regulatory authorities as a result of a serious adverse event, or after an inspection of trial sites or manufacturing facilities or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transfer of manufacturing processes to larger-scale facilities operated by a third-party CDMO and delays or failure by our CDMOs or us to make any necessary changes to such manufacturing process;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being unwilling or unable to satisfy their contractual obligations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nonclinical studies or clinical trials could result in additional costs to us or impair our ability to generate revenue from product sales.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 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example, in December 2022, with the passage of the Food and Drug Omnibus Reform Act (FDORA), Congress required sponsors to develop and submit a diversity action plan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On January 27, 2025, in response to an Executive Order issued by President Trump on January 21, 2025, on Diversity, Equity and Inclusion programs, the FDA removed the draft DAP guidance from its website. Thereafter, following litigation, the FDA restored the draft DAP guidance to the FDA website but stated that “information on this page may be modified and/or removed in the future subject to the terms of the court’s order and implemented consistent with applicable law.” In light of these ongoing actions, there is considerable uncertainty surrounding the draft DAP guidance and how the FDA will consider DAPs in connection with its review of clinical studies.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jurisdictions and may include all of the risks associated with FDA approval described above and risks attributable to the satisfaction of local regulations in foreign jurisdictions. Moreover, the time required to obtain approval may differ jurisdiction-to-jurisdiction from that required to obtain FDA approval. Approval by foreign regulatory authorities does not ensure approval by the FDA and, similarly, approval by the FDA does not ensure approval by regulatory authorities outside the U.S. Successful completion of clinical trials is a prerequisite to submitting a marketing application to foreign regulatory authorities or the FDA for each product candidate and, consequently, the ultimate approval and commercial marketing of any product candidate.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experience negative or inconclusive results, or regulators may be unwilling to accept nonclinical or clinical data obtained in foreign jurisdictions, which may result in our deciding, or our being required by regulators, to conduct additional clinical studies or trials or abandon some or all of our product development programs, which could harm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the FDA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and our product development costs may increase if we experience delays in testing or marketing approvals. In addition, if we make manufacturing or other changes to our product candidates, we may need to conduct additional studies to bridge such new formulations to earlier versions. We do not know whether any of our clinical trials will begin as planned, will need to be restructured or will be completed on schedule, or at all. We may also decide to change the design or protocol of one or more of our clinical trials, which could result in delays.</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may cause adverse events or undesirable side effects or have other properties that could delay or prevent their regulatory approval, limit the commercial profile of an approved label, or result in significant negative consequences following any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adverse events and undesirable side effects caused by our product candidates could cause us or regulatory authorities to interrupt, delay or pause clinical trials and could result in a more restrictive label or the delay or denial of regulatory approval by the FDA or other comparable foreign regulatory authorities. If undesirable side effects do occur in our future clinical trials they could cause delay or even discontinuance of further development of our product candidates, which would impair our ability to generate revenue and would have a material adverse effect on our business, results of operations, financial condition and cash flows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undesirable side effects or further safety issues that we may experience in our clinical trials in the future, we may not receive approval to market our product candidates, which could prevent us from ever generating revenue or achieving profitability. Results of our trials could reveal an unacceptably high severity and prevalence of side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 Safety signals within APRIL/CD19 classes, including with respect to any products that may compete with our product candidates, could affect regulatory approval, labeling, or market uptake, if approved. Any of these occurrences may have a material adverse effect on our business, results of operations, financial condition and cash flows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of our product candidates receive marketing approval, and we, or others, later identify undesirable side effects caused by such product,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forced to suspend marketing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that could diminish the usage or otherwise limit the commercial success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regulatory bodies may issue safety alerts, Dear Healthcare Provider letters, press releases or other communications containing warnings about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require the establishment or modification of a REMS or a comparable foreign regulatory authority may require the establishment or modification of a similar strategy that may, for instance, restrict distribution of our products and impose burdensome implementation requirements on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subjects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candidate, if approved.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encounter difficulties enrolling or retaining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continue our ongoing clinical trials or initiate new clinical trials on a timely basis or at all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There may be limited patient pools from which to draw for clinical trials.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eligibility criteria of our clinical trials will further limit the pool of available study participants as we will require that patients have specific characteristics that we can measure or to assure their disease is either severe enough or not too advanced to include them in a study. Patient enrollment for our clinical trials may be affected by other factors,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efficacy of approved drugs for the disease under investigation, including the potential availability of drug candidates currently in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willingness to screen their patients for biomarkers to indicate which patients may be eligible for enrollment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the trials before completion.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inability to enroll enough patients for our clinical trials would result in significant delays or might require us to abandon one or more clinical trials. Delays in patient enrollment may result in increased costs, affect the timing or outcome of our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 Furthermore, even if we can enroll enough patients for our clinical trials, we may have difficulty maintaining participation in our clinical trials through the treatment and any follow-up periods.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also required to register certain clinical trials and post the results of completed clinical trials on a government-sponsored database, such as www.ClinicalTrials.gov in the U.S., within certain time frames. Failure to do so can result in fines, adverse publicity and civil and criminal sanctions.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product liability lawsuits based on the use of our product candidates in clinical testing or, if obtained, following any such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use of our product candidates by us and any collaborators in clinical trials may expose us to liability claims. We will face an even greater risk if a product candidate is approved by regulatory authorities and introduced commercially.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liability claims may be brought against us or our partners if any product candidate we develop allegedly causes injury or is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Claims could also be asserted under state consumer protection acts. Such claims could be made by participants enrolled in our clinical trials, patients, health care providers, biotechnology companies, our collaborators or others using, administering or selling any of our future approved products. If we cannot successfully defend ourselves against any such claims, we may incur substantial liabilities or be required to limit commercialization of our product candidates, if approved. Even successful defense would require significant financial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Regardless of the merits or eventual outcome,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of our future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clinical trial sites or entire trial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litigation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or costly settlements with, patients or other claimants;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or a change in the indications for which any approved drug products may be used;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and scientific resources from our business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any of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such product candidate. If any of our product candidates are approved for commercial sale, we will be highly dependent upon consumer perceptions of us and the safety and quality of such product. We could be adversely affected if we are subject to negative publicity associated with illness or other adverse effects resulting from physicians’ or patients’ use or misuse of any approved products or any similar products distributed by other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product liability insurance coverage,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in an environment of rapid technological change, and there is a possibility that our competitors may achieve regulatory approval before us or develop therapies that are safer, less expensive or more advanced or effective than ours, which may harm our financial condition and our ability to successfully market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Moreover, the field of immune-mediated diseases is characterized by rapidly changing technologies, significant competition, and a strong emphasis on intellectual property. We will face competition with respect to our product candidates from major pharmaceutical companies, specialty pharmaceutical companies, and biotechnology companies. Potential competitors also include academic institutions, government agencies, and other public and private research organizations that conduct research, seek patent protection, and establish collaborative arrangements for development, manufacturing,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 number of large pharmaceutical and biotechnology companies that currently market and sell products or are pursuing the development of products for the treatment of the disease indications for which we are developing budoprutug or CLYM116. Some of these competitive products and therapies are based on scientific approaches that are similar to our approach, and others are based on entirely different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competitive landscape for budoprutug includes multiple companies developing biologics and other modalities targeting CD19 for immune-mediated diseases. We are aware of several companies developing naked monoclonal antibodies, including Amgen Inc., which has an approved treatment, UPLIZNA (inebilizumab), for neuromyelitis optica spectrum disorder, immunoglobulin G4-related disease (IgG4-RD), and generalized myasthenia gravis (gMG), and IASO Biotherapeutics, Inc. (RD129/IASO782) in Phase 1 development for autoimmune disease. AbbVie Inc. is developing a CD19-targeting glucocorticoid receptor modulator antibody-drug conjugate (ABBV-319). Companies developing bispecific T-cell engagers or CD19 bifunctional monoclonal antibodies include but are not limited to, Cullinan Therapeutics, Inc. (CLN-978), Zenas BioPharma, Inc. (obexelimab), F. Hoffmann-La Roche Ltd. (RG6382) and Merck &amp; Co., Inc. (CN201). Companies developing CD19 chimeric antigen receptor T-cell (CAR-T) and chimeric antigen receptor-natural killer (CAR-NK) therapies include but are not limited to Novartis AG (YTB323), Bristol Myers Squibb Company (BMS-986353), Cabaletta Bio, Inc. (CABA-201), Kyverna Therapeutics, Inc. (mivocabtagene autoleucel) and Nkarta, Inc. (NKX019).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competitive landscape for CLYM116 includes, but is not limited to, companies developing biologics targeting APRIL or BAFF/APRIL for IgAN, such as Otsuka Pharmaceutical Co., Ltd. and Vera Therapeutics, Inc., which have approved treatments (VOYXACT (sibeprenlimab) and TRUTAKNA (atacicept), respectively), Novartis AG (zigakibart), Jade Biosciences, Inc. (JADE-101), and Vertex Pharmaceuticals Incorporated, which has submitted a BLA for FDA approval of povetacicept. In addition, companies targeting CD38, such as Biogen Inc. (felzartamab) and Takeda Pharmaceutical Company Limited (mezagitamab), companies developing degraders such as Biohaven, Ltd. (BHV-1400), and companies developing IgA sweeper antibodies such as argenx (ARGX-121) for IgAN are also potential competitors for CLYM116.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current or potential competitors, either alone or with their collaboration partners, may have significantly greater financial resources and expertise in research and development, manufacturing, conducting clinical trials, obtaining regulatory approvals, and marketing approved products.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consultants and establishing clinical trial sites and patient registration for clinical trials, as well as in acquiring technologies complementary to, or necessary for, our programs.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 candidates that are safer, more effective, have fewer or less severe side effects, are more convenient, or are less expensive than budoprutug or CLYM116, or that would render budoprutug or CLYM116 obsolete or non-competitive. Our competitors also may obtain FDA or other regulatory approval for their product candidates more rapidly than we may obtain approval for budoprutug and CLYM116, which could result in our competitors establishing a strong market position before we are able to enter the market. Additionally, technologies developed by our competitors may render budoprutug or CLYM116 uneconomical or obsolete, and we may not be successful in marketing budoprutug or CLYM116 against competitors.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as a result of the expiration or successful challenge of our patent rights, we could face more litigation with respect to the validity or scope of patents relating to our competitors’ products. The availability of our competitors’ products could limit the demand, and the price we are able to charge, for budoprutug or CLYM116.</w:t>
      </w:r>
    </w:p>
    <w:p>
      <w:pPr>
        <w:pStyle w:val="TextBody"/>
        <w:bidi w:val="0"/>
        <w:jc w:val="left"/>
        <w:rPr>
          <w:rFonts w:ascii="Times New Roman" w:hAnsi="Times New Roman"/>
          <w:color w:val="000000"/>
          <w:sz w:val="20"/>
        </w:rPr>
      </w:pPr>
      <w:r>
        <w:rPr>
          <w:rFonts w:ascii="Times New Roman" w:hAnsi="Times New Roman"/>
          <w:color w:val="000000"/>
          <w:sz w:val="20"/>
        </w:rPr>
        <w:t xml:space="preserve">If we successfully obtain approval for budoprutug or CLYM116, we believe that the key competitive factors that will affect the success of these candidates will be efficacy, safety, tolerability, convenience, price and the availability of reimbursement from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and other third-party payors relative to such competing products. Our commercial opportunity could be reduced or eliminated if our competitors have products that are superior in one or more of these categories.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Drug development is highly uncertain, and if we are unable to successfully develop and commercialize our product candidates, or experience significant delays in doing so, our business may be harmed.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Drug development is a highly uncertain undertaking and involves a substantial degree of risk. For example, previously we paused or discontinued the development of all of our legacy product candidates for the treatment of neuronal excitability disorders, including ETX-155 and ETX-123, which were still in drug discovery stages, and we may not ever obtain regulatory approval for our product candidates. In addition, as a company, we have </w:t>
      </w:r>
      <w:r>
        <w:rPr>
          <w:rFonts w:ascii="Times New Roman" w:hAnsi="Times New Roman"/>
          <w:color w:val="231F20"/>
          <w:sz w:val="20"/>
        </w:rPr>
        <w:t>no prior experience developing biological product candidates. As such, we may encounter delays or difficulties in our efforts to develop and commercialize budoprutug and CLYM116.</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not initiated or completed a pivotal clinical trial, obtained marketing approval for any product candidate, manufactured a commercial scale product or arranged for a third party to do so on our behalf, or conducted the sales and marketing activities necessary for successful product commercialization. Our short operating history as a company makes any assessment of our future success and viability subject to significant uncertainty.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encounter risks and difficulties frequently experienced by early-stage biotechnology companies in rapidly evolving fields, and we have not yet demonstrated an ability to successfully overcome such risks and difficulties. If we do not address these risks and difficulties successfully, our business may be harmed.</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for our product candidates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We currently focus our research and product development on budoprutug for the treatment of pMN, ITP, and SLE and on CLYM116 for the treatment of IgAN. Our understanding of the patient populations with these diseases is based on estimates in published literature. </w:t>
      </w:r>
    </w:p>
    <w:p>
      <w:pPr>
        <w:pStyle w:val="TextBody"/>
        <w:bidi w:val="0"/>
        <w:jc w:val="left"/>
        <w:rPr>
          <w:rFonts w:ascii="Times New Roman" w:hAnsi="Times New Roman"/>
          <w:color w:val="000000"/>
          <w:sz w:val="20"/>
        </w:rPr>
      </w:pPr>
      <w:r>
        <w:rPr>
          <w:rFonts w:ascii="Times New Roman" w:hAnsi="Times New Roman"/>
          <w:color w:val="000000"/>
          <w:sz w:val="20"/>
        </w:rPr>
        <w:t xml:space="preserve">These estimates, and our estimates and forecasts relating to size and expected growth based on these estimates, may prove to be incorrect and new studies may reduce the estimated incidence or prevalence of these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patients in the U.S. and elsewhere may turn out to be lower than expected, patients may not be otherwise amenable to treatment with budoprutug or CLYM116, or patients may become increasingly difficult to identify and access. Even if the patient populations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our product candidates, the ability to obtain coverage and reimbursement, the ability to gain market share and whether we own the commercial rights for that territory. If the number of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our product candidates, even if approved. Further, there are several factors that could contribute to making the actual number of patients who receive our product candidates less than the potentially addressable market. These include the lack of widespread availability of, and limited reimbursement for, new therapies in many underdeveloped markets.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no experience in sales, marketing and distribution and may have to enter into agreements with third parties to perform these functions, which could prevent us from successfully commercializing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no sales, marketing or distribution capabilities. To commercialize our product candidates, we must either develop our own sales, marketing and distribution capabilities or make arrangements with third parties to perform these services for us. If we decide to market or distribute our product candidates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results of operations, financial condition and cash flows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Disruptions at the FDA and other government agencies from funding cuts, personnel losses,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agencies, including workforce changes, budget constraints, regulatory reform, government shutdowns, or public health emergencies could delay inspections, guidance from the FDA, and application review, which could hinder our ability to secure approval of our product candidates in a timely manner. Even with the user</w:t>
        <w:noBreakHyphen/>
        <w:t>fee program established under the PDUFA, resource constraints could delay PDUFA dates, and changes in government policy or enforcement priorities may alter review practices and post</w:t>
        <w:noBreakHyphen/>
        <w:t xml:space="preserve">approval obligations with respect to the FDA or other comparable regulatory agencies.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comparable regulatory agencies in foreign jurisdictions, such as the EMA and Committee for Medicinal Products for Human Use (CHMP),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recent loss and retirement of FDA leadership and personnel could lead to disruptions and delays in FDA guidance, review and approval of our product candidates. The current administration has substantially reduced the FDA’s workforce and may make further reductions, which may lead to disruptions and delays in the FDA’s review and oversight of our product candidates and impact the FDA’s ability to provide timely feedback on our development programs. Reductions in the FDA’s review or inspection divisions could extend review timelines, delay or prevent pre-approval inspections and limit opportunities for FDA feedback on pending applications. In addition, there were several reports in 2025 of the FDA failing to meet its PDUFA goal dates for action on a new drug application (NDA) or BLA due to limited resources. Any of these factors may delay or limit our ability to obtain FDA approval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government funding of the SEC and other government agencies on which our operations may rely, including those that fund research and development activities, is subject to the political process, which is inherently fluid and unpredictable.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continue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U.S. facing similar circumstances may adopt similar restrictions or other policy measures in response to a similar public health emergency and may also experience delays in their regulatory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if any of the foregoing developments and others impact the ability of the FDA to provide us with guidance regarding our clinical development programs or delay the FDA’s review and processing of our regulatory submissions, including INDs, NDAs, and BLAs, our business would be negatively impacted. Further, the current and any future government shutdowns could impact our ability to access the public markets and obtain necessary capital in order to properly capitalize and continue our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Legal and Regulatory Compliance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Enacted and future legislation may increase the difficulty and cost for us to obtain marketing approval and commercialize our product candidates, if and when approved, and may affect the prices we may charge for such product candidates, if and when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2010, the Patient Protection and Affordable Care Act, as amended by the Health Care and Education Reconciliation Act of 2010, collectively, the Affordable Care Act (ACA), was enacted, which includes measures that have significantly changed the way health care is financed by both governmental and private insurers. There have been executive, judicial and congressional challenges to certain aspects of the ACA. For example, on June 17, 2021, the U.S. Supreme Court dismissed a judicial challenge to the ACA brought by several states without specifically ruling on the constitutionality of the ACA.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in August 2011, the Budget Control Act of 2011 was signed into law, which, as amended, generally includes a 2% reduction in Medicare payments to providers from April 1, 2013 until 2032 unless Congress takes additional 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Recently, there has been increasing legislative and enforcement interest in the U.S. with respect to specialty drug pricing practices. Specifically, there have been several recent U.S. presidential executive orders, congressional inquiries and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August 16, 2022, the Inflation Reduction Act (IRA) was signed into law by former President Biden. The legislation has implications for Medicare Part D, which is a program available to individuals who are entitled to Medicare Part A or enrolled in Medicare Part B to give them the option of paying a monthly premium for outpatient prescription drug coverage.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Among other things, the IRA requires the federal government to negotiate Medicare prices with manufacturers of certain drugs, beginning in 2023 with the first negotiated prices taking effect in 2026, with prices that can be negotiated subject to a cap; imposes rebates under Medicare Part B and Medicare Part D to penalize price increases that outpace inflation (first due in 2023); and replaces the Part D coverage gap discount program with a new discounting program (that began in 2025). The IRA permits the Secretary of the HHS to implement many of these provisions through guidance, as opposed to regulation, for the initial years.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Specifically, with respect to price negotiations, Congress authorized Medicare to negotiate lower prices for certain costly single-source drug and biologic products that do not have competing generics or biosimilars and are reimbursed under Medicare Part B and Part D. The Centers for Medicare &amp; Medicaid Services (CMS) may negotiate prices for ten high-cost drugs to be paid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Drugs and biologics that have been approved for a single rare disease or condition were originally categorically excluded from price negotiation. With passage of the One Big Beautiful Bill Act on July 3, 2025, which was signed into law on July 4, 2025, Congress extended this exemption to drugs and biologics with multiple orphan drug designations.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Since CMS may establish a maximum price for these products in price negotiations, we would be fully at risk of government action if any of our product candidates are the subject of Medicare price negotiations. Given this risk, these provisions of the IRA may also further heighten the risk that we would not be able to achieve the expected return on any product candidate, if approved, or the full value of our patents protecting any such approved drug products if prices are set after any such approved products have been on the market for nine years.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first cycle of negotiations for the Medicare Drug Price Negotiation Program commenced in the summer of 2023 and the prices of the ten drugs that were the subject of these negotiations became effective January 1, 2026. The second cycle of negotiations with participating drug companies occurred during 2025, and any negotiated prices for this second set of drugs will be effective starting January 1, 2027.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Further, drug manufacturers may be subject to an excise tax for failing to participate in price negotiations or charging more than the negotiated “maximum fair price” and civil money penalties for not complying with the terms of the program. In addition to the drug price negotiation program, the IRA established inflation rebate programs under Medicare Part B and Part D. These programs require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new law also caps annual Medicare out-of-pocket drug costs, with the cap set at $2,100 for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June 6, 2023, Merck &amp; Co. filed a lawsuit against the HHS and CMS asserting that, among other things, the IRA’s Drug Price Negotiation Program for Medicare constitutes an uncompensated taking in violation of the Fifth Amendment of the Constitution. Subsequently, a number of other pharmaceutical manufacturers and the pharmaceutical industry association filed additional lawsuits challenging the program on various constitutional and statutory grounds. Every court that has thus far considered substantive challenges to the Medicare drug price negotiation program has ruled against the pharmaceutical industry, dismissing both constitutional and statutory arguments. For example, on May 8, 2025, the U.S. Court of Appeals for the Third Circuit rejected AstraZeneca L.P.’s challenge to the Medicare Drug Price Negotiation Program, finding that the program did not violate the company’s due process rights under the Constitution since there is no protected property interest in selling goods to Medicare beneficiaries at a price higher than what the government is willing to pay in reimbursement.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litigation involving these and other provisions of the IRA will continue, with unpredictable and uncertain results. Accordingly,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the Trump Administration has taken a number of actions to reduce the costs of pharmaceutical products. For example, on April 15, 2025, President Trump issued an Executive Order which directs HHS to take steps to reduce the prices of pharmaceutical products. Such measures include accelerating competition for high-cost prescription drugs by accelerating approval of generics and biosimilars and streamlining the state drug importation program. Further, on May 12, 2025, President Trump issued an additional Executive Order calling on pharmaceutical manufacturers to voluntarily reduce the prices of medicines in the U.S. The Order provides that if such actions do not lower the costs of pharmaceuticals, the Secretary of HHS would pursue other actions, including proposing a rulemaking that imposes most-favored-nation (MFN) pricing in the U.S. Thereafter, on July 31, 2025, the President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Since that time,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Trump Administration’s pricing agreements with pharmaceutical manufacturers and lists prices for generic drugs.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Separately, on December 23, 2025, CMS, through its Center for Medicare and Medicaid Innovation, proposed two seven-year pilot programs to implement “reference pricing” regimes for drugs paid for under Medicare for 25% of covered beneficiaries. The programs are referred to as the Global Benchmark for Efficient Drug Pricing (GLOBE) Model for Medicare Part B drugs, and the Guarding U.S. Medicare Against Rising Drug Costs (GUARD) for Medicare Part D drugs. Under the proposed pilot programs, a manufacturer would owe rebates to Medicare if prices for their drugs exceeded the prices paid by other economically comparable reference countries, defined in the proposed regulations as Organisation for Economic Co-operation and Development countries with a gross domestic product (GDP) of $400 billion and a per capita GDP that is at least 60% of the U.S. per capita GDP (an initial list of 19 reference countries is included in the proposed rules). These pilot programs are proposed to go into effect beginning October 1, 2026 (GLOBE) and January 1, 2027 (GUARD).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These measures could reduce the ultimate demand for our product candidates, if and when approved, and any other products we may develop, or put pressure on our product pricing.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This may be especially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the EU, similar political, economic and regulatory developments may affect our ability to profitably commercialize our product candidates, if and when approved, and any other products we may develop.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and other healthcare laws and regulations. If we are unable to comply, or have not fully complied, with such laws, we could face substantial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Healthcare providers and others play a primary role in the recommendation and prescription of any products for which we obtain marketing approval. Although we do not currently have any products on the market, our operations may be, directly or indirectly through our prescribers, customers and third-party payors, subject to various U.S. federal and state healthcare laws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laws may impact, among other things, our current and future business operations, including our clinical research activities and proposed sales, marketing and education programs and constrain the business of financial arrangements and relationships with healthcare providers and other parties through which we may market, sell and distribute our products for which we obtain marketing approval. In addition, we may be subject to additional healthcare, statutory and regulatory requirements and enforcement by foreign regulatory authorities in jurisdictions in which we conduct our business. The laws that may affect our ability to operate include the following (some of which may apply only if and when we have a marketed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makes it illegal for any person or entity, including a prescription drug manufacturer (or a party acting on its behalf), to knowingly and willfully solicit, receive, offer or pay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civil and criminal false claims laws, including the False Claims Act (FCA), which can be enforced through “qui tam” or “whistleblower” actions, and civil monetary penalty law, which impose criminal and civil penalties against individuals or entities for, among other things, knowingly presenting, or causing to be presented, claims for payment or approval from Medicare, Medicaid, or other federal health care programs that are false, fictitious or fraudulent; knowingly making, using, or causing to be made or used, a false record or statement material to a false, fictitious or fraudulent claim or an obligation to pay or transmit money or property to the federal government; or knowingly concealing or knowingly and improperly avoiding or decreasing or concealing such an obligation to pay money to the federal government. In addition, a claim that includes items or services resulting from a violation of the federal Anti-Kickback Statute constitutes a false or fraudulent claim under the FCA;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as amended,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with whom we interact;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Physician Payments Sunshine Act and its implementing regulations, which require certain manufacturers of drugs, devices, biologics and medical supplies for which payment is available under Medicare, Medicaid or the Children’s Health Insurance Program to report annually to the CMS, an agency within the HHS under the Open Payments Program, information related to direct or indirect payments and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and state consumer protection and unfair competition laws, which broadly regulate marketplace activities and activities that potentially harm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state consumer privacy and consumer health privacy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U.S. state laws and regulations, including state anti-kickback and false claims laws that may apply to items or services reimbursed by any third-party payor, including commercial insurers;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laws that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state laws that require pharmaceutical companies to file reports relating to pricing and marketing information; and state and local laws requiring the registration of pharmaceutical sales representatives;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and other foreign law equivalents of each of the laws, including reporting requirements detailing interactions with and payments to healthcare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Ensuring that our internal operations and future business arrangements with third parties comply with applicable healthcare laws and regulations will involve substantial costs. If and when one of our product candidates is approved, our compliance efforts will need to expand and evolve to address newly applicable laws. Given the breadth of the laws and regulations, limited guidance for certain laws and regulations and evolving government interpretations of the laws and regulations, governmental authorities may conclude that our business practices are non-compliant.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it could adversely affect our ability to operate our business and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Actual or alleged non</w:t>
        <w:noBreakHyphen/>
        <w:t>compliance by us could result in investigations, significant civil or criminal penalties, exclusion of our company from government programs, reputational harm, and operational restrictions. Non-compliance could adversely affect our ability to operate our business and our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process personal data and other sensitive data, including health data we collect about participants in connection with our clinical trials, proprietary and confidential business data, trade secrets, intellectual property, and sensitive third-party data. Our data processing activities subject us to numerous data privacy and security obligations, such as various laws, regulations, guidance, industry standards,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and internal privacy and security policies, contracts, and other obligations that govern the processing of personal data by us and on our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federal, state, and local governments have enacted numerous data privacy and security laws, including data breach notification laws, personal data privacy laws, and consumer protection laws. These privacy laws include, without limitation, the following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5 of the Federal Trade Commission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HITECH (which imposes specific requirements relating to the privacy, security and transmission of individually identifiable health information that apply to most U.S. healthcare providers with which we interact, such as our U.S. clinical study sites);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California Consumer Privacy Act of 2018 (CCPA), as amended by the California Privacy Rights Act (CPRA), applies to personal information of consumers, business representatives, and employees, and requires businesses to provide specific disclosures in privacy notices and honor requests of California residents to exercise certain privacy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California, many other states have passed comprehensive privacy laws similar to the CCPA and CPRA, which create obligations related to the processing of personal information, as well as special obligations for the processing of “sensitive” data (which includes health data). These state laws impose obligations on businesses to which they apply, including requirements to conduct data processing risk assessments, to enter into data processing agreements with vendors and other third-parties with whom a business shares personal information, and to make detailed disclosures to residents of those states about the business’ data collection, use and sharing practices. Many of these state laws also allow for statutory fines for noncompliance. To the extent they are applicable to our business and operations, these laws may increase compliance costs and potential liability with respect to other personal information we maintain about residents of these states. We expect other states will be considering similar laws in the future, and Congress has also been debating passing a federal privacy law. These laws may impact our business activities, including our identification of research subjects, relationships with business partners and ultimately the marketing and distribution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data privacy and security laws have been proposed and enacted at the federal, state and local levels in recent years, which</w:t>
        <w:br/>
        <w:t>could further complicate compliance efforts. Such restrictions may affect our ability to engage in collaborations or license agreements</w:t>
        <w:br/>
        <w:t>with entities in restricted countries or with a nexus to such countries going forward.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U.S., an increasing number of laws, regulations, and industry standards apply to data privacy and security. For example, the EU’s General Data Protection Regulation and the equivalent law in the U.K. (together the GDPR) impose strict requirements for processing the personal data of individuals, including sensitive data that we may process such as health data, including health data</w:t>
        <w:br/>
        <w:t>collected from subjects enrolled in our clinical trials at sites located in the EU. Under the EU GDPR, government regulators may</w:t>
        <w:br/>
        <w:t>impose temporary or definitive bans on data processing, as well as fines of up to 20 million euros or 4% of annual global revenue,</w:t>
        <w:br/>
        <w:t>whichever is greater. Further, individuals may initiate litigation related to our processing of their personal data. The EU, U.K. and</w:t>
        <w:br/>
        <w:t>certain other foreign jurisdictions have enacted data localization laws and cross-border personal data transfer laws, which could make</w:t>
        <w:br/>
        <w:t>it more difficult to transfer information across jurisdictions, such as transferring or receiving personal data that originates in the EU.</w:t>
        <w:br/>
        <w:t>Additional jurisdictions have enacted and continue to enact and modify their data privacy laws, which increases the complexity of the</w:t>
        <w:br/>
        <w:t>data privacy landscape.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regarding data privacy and security. If these policies, materials or statements are found to be deficient, lacking in transparency, deceptive, unfair, or misrepresentative of our practices, we may be subject to investigation, consumer litigation, enforcement actions by regulators or other adverse consequences. 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Preparation for and compliance with these obligations requires us to devote significant resources. These obligations may necessitate changes to our information technologies, systems, and practices and to those of any third parties that process personal data on our behalf. Although we try to comply with all applicable data privacy and security obligations, we may at times fail (or be perceived as having failed). Despite our efforts, our personnel or third parties upon whom we rely may fail to comply with such obligations, which could negatively impact our business operations and compliance posture.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the third parties on which we rely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arbitration demands; additional reporting requirements and oversight; bans on processing personal data; and orders to destroy or not use personal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have a material adverse effect on our reputation, business, or financial condition, including but not limited to: loss of customers; interruptions or stoppages in our business operations, including our clinical trials; inability to process personal data or to operate in certain jurisdictions; limited ability to develop or commercialize our product candidates; expenditure of time and resources to defend any claim or inquiry; adverse publicity; or revision or restructuring of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sought and received Fast Track designation for budoprutug and may in the future seek additional designations for our product candidates, including Breakthrough Therapy, Fast Track and Priority Review designations in the U.S., and PRIority MEdicines (PRIME) Designation in the EU, but we might not receive such designations, and even if we do, such designations may not lead to a faster development or regulatory review or approval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received and may in the future seek certain designations for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review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review product may be effective.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received Fast Track designation for budoprutug for the treatment of pMN and may seek Fast Track designation for budoprutug in other indications or for other of our product candidates, but such designation may not lead to a faster development or regulatory review and approval process or increase the likelihood that such product candidate will receive regulatory approval.</w:t>
      </w:r>
    </w:p>
    <w:p>
      <w:pPr>
        <w:pStyle w:val="TextBody"/>
        <w:bidi w:val="0"/>
        <w:jc w:val="left"/>
        <w:rPr>
          <w:rFonts w:ascii="Times New Roman" w:hAnsi="Times New Roman"/>
          <w:color w:val="000000"/>
          <w:sz w:val="20"/>
        </w:rPr>
      </w:pPr>
      <w:r>
        <w:rPr>
          <w:rFonts w:ascii="Times New Roman" w:hAnsi="Times New Roman"/>
          <w:color w:val="000000"/>
          <w:sz w:val="20"/>
        </w:rPr>
        <w:t>We may also seek a Priority Review designation for our product candidates. If the FDA determines that a product candidate offers major advances in treatment or provides a treatment where no adequate therapy exists, the FDA may designate the product candidate for priority review. A Priority Review designation means that the goal is for the FDA to review an application for marketing approval in six months, rather than the standard review period of 10 months. On June 17, 2025, the FDA announced the creation of a new voucher program to expedite the development and approval of new drug products. Vouchers issued under the new program, which is known as the Commissioner’s National Priority Voucher (CNPV) Program, may be redeemed by sponsors to shorten the review time of an NDA or BLA from approximately 10 to 12 months to potentially as short as one to two months. The FDA has indicated that the CNPV Program will convene experts from the FDA’s offices for a team-based review rather than using the standard review system of a drug application being sent to numerous FDA offices. Clinical information will be reviewed by a multidisciplinary team of physicians and scientists who will pre-review the submitted information and convene for a one-day meeting. As of July 1, 2026, the FDA has issued 18 vouchers and approved seven products under this program. However, there have been significant changes in FDA’s senior leadership since the launch of the CNPV Program, and industry stakeholders have raised concerns regarding the CNPV Program. Consequently, we do not know whether or under what circumstances FDA may continue to award vouchers or grant approvals under the CNPV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designations are within the discretion of the FDA. Accordingly, even if we believe that our product candidates meet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 candidates considered for approval under conventional FDA procedures and does not assure ultimate approval by the FDA. In addition, even if our product candidates qualify for these designations, the FDA may later decide that such product candidate no longer meets the conditions for qualification or decide that the time period for FDA review or approval will not be shortened.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we may seek PRIME designation for our product candidates. The PRIME program focuses on product candidates that target conditions for which there exists no satisfactory method of treatment in the EU, or even if such a method exists, the product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candidate may offer a major therapeutic advantage over existing treatments. To be accepted for PRIME designation, a product candidate must meet the eligibility criteria in respect of its major public health interest and therapeutic innovation based on information that is capable of substantiating the claims. The benefits of a PRIME designation include the appointment of a rapporteur of the CHMP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designation enables an applicant to request parallel EMA scientific advice and health technology assessment advice to facilitate timely market access. Even if we receive PRIME designation for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Accelerated approval by the FDA, even if granted for our product candidates, may not lead to a faster development or regulatory review or approval process and it does not increase the likelihood that our product candidates will receive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pursue accelerated approval (U.S.) or conditional authorization (EU) of our product candidates based on surrogate endpoints or limited datasets, but regulators can require pre</w:t>
        <w:noBreakHyphen/>
        <w:t>approval readiness (e.g., confirmatory trials underway), extensive post</w:t>
        <w:noBreakHyphen/>
        <w:t xml:space="preserve">approval commitments, labeling controls, and can withdraw approvals if benefit is not verified or safety/efficacy concerns arise. Accelerated/conditional pathways do not guarantee faster overall timelines or ultimate full approval. A product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 Prior to seeking such accelerated approval, we will seek feedback from the FDA and otherwise evaluate our ability to seek and receive such accelerated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condition of approval, the FDA requires that a sponsor of a product receiving accelerated approval perform an adequate and well-controlled post-marketing confirmatory clinical trial or trials. These 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the FDA will agree with any proposed surrogate endpoints or that we will decide to pursue or submit a BLA for accelerated approval or any other form of expedited development, review or approval for our product candidates.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There can be no assurance that we will satisfy all FDA requirements, including new provisions, that govern accelerated approval. For example, with passage of the FDORA,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the FDA every six months until the study is completed. Moreover, FDORA established expedited procedures authorizing the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of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FDA or the Commissioner’s designee and a written appeal, among other things. The new procedures include the provision of due notice and an explanation for a proposed withdrawal, and opportunities for a meeting with the FDA and a written appeal, among other things. We will need to fully comply with these and other requirements in connection with the development and approval of any of our product candidates that qualify for accelerated approval.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FDA’s latest thinking on what it means to conduct a confirmatory trial with due diligence and how the agency plans to interpret whether such a study needs to be underway at the time of approval. Even if we do receive accelerated approval, we may not experience a faster development or regulatory review or approval process, and receiving accelerated approval does not provide assurance of ultimate full FDA approval.</w:t>
      </w:r>
    </w:p>
    <w:p>
      <w:pPr>
        <w:pStyle w:val="TextBody"/>
        <w:bidi w:val="0"/>
        <w:jc w:val="left"/>
        <w:rPr>
          <w:rFonts w:ascii="Times New Roman" w:hAnsi="Times New Roman"/>
          <w:color w:val="000000"/>
          <w:sz w:val="20"/>
        </w:rPr>
      </w:pPr>
      <w:r>
        <w:rPr>
          <w:rFonts w:ascii="Times New Roman" w:hAnsi="Times New Roman"/>
          <w:color w:val="000000"/>
          <w:sz w:val="20"/>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received orphan drug designation for budoprutug for the treatment of pMN, but we may be unable to realize the benefits associated with orphan drug designation, including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Orphan Drug Act, the FDA may grant orphan designation to a drug or biologic intended to treat a rare disease or condition, defined as a disease or condition with a patient population of fewer than 200,000 in the U.S., or a patient population greater than 200,000 in the U.S. when there is no reasonable expectation that the cost of developing and making available the drug or biologic in the U.S. will be recovered from sales in the U.S. for that drug or biologic. In order to obtain orphan drug designation, the request must be made before submitting a BLA.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budoprutug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a sufficient supply of budoprutug or if a subsequent sponsor demonstrates clinical superiority over budoprutug.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granted orphan drug designation to budoprutug for the treatment of pMN. We may seek orphan drug designation for budoprutug in other specific orphan indications in which there is a medically plausible basis for the use of budoprutug and we may also seek orphan drug designation for CLYM116 or any future product candidates. We may never receive such designations. In addition, even with orphan drug designation, exclusive marketing rights in the U.S. may be limited if we seek approval for an indication broader than the orphan designated indication and may be lost if the FDA later determines that the request for designation was materially defective or if we are unable to assure sufficient quantities of our product candidates to meet the needs of patients with the rare disease or condition, or if a subsequent sponsor demonstrates clinical superiority over our product candidates, if approved.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approved, our product candidates regulated as biologics may face competition from biosimilars approved through an abbreviated regulatory pathway.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regulated as biologics are approved, they may face biosimilar competition, which could reduce our pricing power with respect to such product candidate and market share. Future legislative or regulatory changes in the U.S. or EU could shorten data exclusivity periods and affect our commercial prospects. Substitution dynamics, payer policies, and evolving guidance from the FDA or EMA could introduce uncertainty that may increase competitive pressure and compress net 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(BPCIA)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this 12-year period of regulatory exclusivity, another company may still market a competing version of the reference product if the FDA approves a BLA for the competing product containing the sponsor’s own nonclinical data and data from adequate and well-controlled clinical trials to demonstrate the safety, purity, and potency of the other company’s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2022, Congress clarified through the FDORA, that the FDA may approve multiple first interchangeable biosimilar biological products so long as the products are all approved on the same first day on which such a product is approved as interchangeable with the reference product and the exclusivity period may be shared amongst multiple first interchangeable products. More recently, in October 2023, the FDA issued its first interchangeable exclusivity determination under the BPCIA.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if approved as a biologic product under a BLA, should qualify for the 12-year period of exclusivity. Nonetheless, the approval of biosimilar products referencing our product candidates would have a material adverse impact on our business due to increased competition and pricing pressures. Moreover, there is a risk that any exclusivity we do receive could be shortened due to congressional action or otherwise, or that the FDA will not consider our products to be reference products for competing products, potentially creating the opportunity for generic competition sooner than anticipated. Other aspects of the BPCIA, some of which may impact the BPCIA exclusivity provisions, have also been the subject of recent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to which a biosimilar, once licensed, will be substituted for any of our product candidates in a way that is similar to traditional generic substitution for non-biologic products is not yet clear, and will depend on a number of marketplace and regulatory factors that are still developing. If competitors are able to obtain regulatory approval for biosimilars referencing any of our product candidates, such product may become subject to competition from such biosimilars, with the attendant competitive pressure and consequences. The ultimate impact, implementation, and meaning of the BPCIA are subject to uncertainty, and any new regulations, guidance, policies or processes adopted by the FDA to implement the law could have a material adverse effect on the future commercial prospects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 In March 2026, the FDA issued another draft guidance with additional recommendations that are intended to streamline the development requirements for licensure of biosimilars.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relating to non-patent exclusivity. For example, the European Commission launched a review of EU pharmaceutical legislation in November 2020. On December 11, 2025, the European Parliament and Council reached a provisional political agreement on the legislation, which is expected to be adopted by mid-2026. Key changes include updating regulatory data exclusivity to a new system with 8 years data exclusivity and a reduced market exclusivity period to 1 year, which can be extended if specific conditions are fulfilled. These provisions are expected to be adopted in the second quarter of 2026 and to take effect in mid-2028. If the legislation is finalized in line with the provisional political agreement, it will have a profound impact on the pharmaceutical industry in the EU.</w:t>
      </w:r>
    </w:p>
    <w:p>
      <w:pPr>
        <w:pStyle w:val="TextBody"/>
        <w:bidi w:val="0"/>
        <w:spacing w:before="240" w:after="283"/>
        <w:jc w:val="left"/>
        <w:rPr>
          <w:rFonts w:ascii="Times New Roman" w:hAnsi="Times New Roman"/>
          <w:sz w:val="20"/>
        </w:rPr>
      </w:pPr>
      <w:r>
        <w:rPr>
          <w:rFonts w:ascii="Times New Roman" w:hAnsi="Times New Roman"/>
          <w:b/>
          <w:i/>
          <w:color w:val="000000"/>
          <w:sz w:val="20"/>
        </w:rPr>
        <w:t>We conduct clinical trials at sites outside the U.S. The FDA may not accept data from trials conducted in such locations, and the conduct of trials outside the U.S. could subject us to additional delays and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conduct and may conduct future clinical trials with trial sites that are located outside the U.S. The acceptance by the FDA or other regulatory authorities of trial data from clinical trials conducted outside their jurisdiction may be subject to certain conditions or may not be accepted at all. Trials outside the U.S. also present operational risks, including complying with local regulations, foreign exchange rate risk, potentially more limited IP protection, and geopolitical risks that can add cost and delay to conducting clinical trials. For example, in cases where data from foreign clinical trials are intended to serve as the sole basis for marketing approval in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FDA or any comparable foreign regulatory authority does not accept such data, it would result in the need for additional trials, which could be costly and time-consuming, and which may result in our product candidates not receiving approval for commercialization in the applicable jurisdiction. Conducting clinical trials outside the U.S. will also expose us to additional risks, including risks associated with: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foreign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foreign manufacturing, customs, shipment and storage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differences in medical practice and clinical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diminished protection of intellectual property in some countries;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interruptions or delays in our trials resulting from geopolitical events, such as war or terrorism. </w:t>
      </w:r>
    </w:p>
    <w:p>
      <w:pPr>
        <w:pStyle w:val="TextBody"/>
        <w:bidi w:val="0"/>
        <w:spacing w:before="240" w:after="283"/>
        <w:jc w:val="left"/>
        <w:rPr>
          <w:rFonts w:ascii="Times New Roman" w:hAnsi="Times New Roman"/>
          <w:sz w:val="20"/>
        </w:rPr>
      </w:pPr>
      <w:r>
        <w:rPr>
          <w:rFonts w:ascii="Times New Roman" w:hAnsi="Times New Roman"/>
          <w:b/>
          <w:i/>
          <w:color w:val="000000"/>
          <w:sz w:val="20"/>
        </w:rPr>
        <w:t>Our failure to obtain regulatory approval in foreign jurisdictions would prevent us from marketing our product candidates outside the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succeed in developing our product candidates, we intend to market them in foreign jurisdictions in addition to the U.S. In order to market and sell products in other jurisdictions, we must obtain separate marketing approvals and comply with numerous and varying regulatory requirements. The approval procedure varies among countries and can involve additional testing.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time required to obtain approval may differ substantially from that required to obtain FDA approval. The regulatory approval process outside the U.S. generally includes all of the risks associated with obtaining FDA approval. In addition, in many countries outside the U.S., we must secure product pricing and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regulatory authorities in another country, we will be unable to commercialize any such product in that country, and the commercial prospects of that product candidate and our business prospects could decline. In addition, failure to obtain regulatory approval in one country or region could adversely affect future regulatory approvals in other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in many countries outside the U.S.,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could delay or prevent the introduction of any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fail to obtain the non-U.S. approvals required to market any of our product candidates outside the U.S. or if we fail to comply with applicable non-U.S. regulatory requirements, our target markets will be reduced and our ability to realize the full market potential of such product candidate will be harmed and our business, financial condition, results of operations and prospects may be adversely affected.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Additionally, we could face heightened risks with respect to obtaining marketing authorization in the U.K. as a result of the withdrawal of the U.K. from the EU, commonly referred to as Brexit. As of January 1, 2025, the Medicines and Healthcare Products Regulatory Agency (MHRA), is responsible for approving all medicinal products destined for the U.K. market (i.e., Great Britain and Northern Ireland), and the EMA will no longer have any role in approving medicinal products destined for Northern Ireland. The MHRA relies on the Human Medicines Regulations 2012 (SI 2012/1916), as amended (HMR) as the basis for regulating medicines. The HMR has incorporated into domestic law the body of EU law instruments governing medicinal products that pre-existed prior to Brexit.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U.K., clinical trials of medicinal products are primarily governed by the Medicines for Human Use (Clinical Trials) Regulations 2004, as amended (the U.K. Regulations). The U.K. Regulations sought to implement the Directive 2001/20/EC while the U.K. was a</w:t>
        <w:br/>
        <w:t>member state of the EU. Since the CTR was not in force in the EU at the time when the U.K. exited the EU, it was not retained in U.K. law on exit day under the terms of the European Union (Withdrawal) Act 2018. Building on the foundation of the 2004 Regulations, the Medicines for Human Use (Clinical Trials) (Amendment) Regulations 2025, enacted under the Medicines and Medical Devices Act 2021, establish a modernized framework for clinical trials in the U.K. and came into operation on April 28, 2026. The regime streamlines approvals, introduces binding timelines, and enhances transparency and participant protections, aligning U.K. requirements with international standards.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January 1, 2024, a new international recognition procedure (IRP) applies which intends to facilitate approval of pharmaceutical products in the U.K. The IRP is open to applicants that have already received an authorization for the same product from one of the MHRA’s specified Reference Regulators (RRs). The RRs notably include the EMA and regulators in the European Economic Area member states for approvals in the EU centralized procedure and mutual recognition procedure as well as the FDA (for product approvals granted in the U.S.). The RR assessment must have undergone a full and standalone review, and RR assessments based on reliance or recognition cannot be used to support an IRP application. A CHMP positive opinion or a Mutual Recognition/Decentralised Reliance Procedure positive end of procedure outcome is an RR authorization for the purposes of IRP.</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and expect to continue to rely, on third parties to conduct, supervise, and monitor our nonclinical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and expect to continue to rely, on third-party CROs to conduct, supervise, and monitor our future nonclinical studies and clinical trials for our product candidates, and we do not currently plan to independently conduct nonclinical studies or future clinical trials of any other potential product candidates.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various reasons, including a failure to perform by the third parties. If we need to enter into alternative arrangements, product development activities may be delayed and such delays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errors, or non-performance from our CROs, CDMOs, and other third parties could delay the development, regulatory review, or commercialization of our product candidates. Our reliance on third parties for development activities will reduce our control over these activities. Nevertheless, we are responsible for ensuring that each of our studies and clinical trials is conducted in accordance with the applicable protocol, legal, regulatory and scientific standards, and our reliance on CROs does not relieve us of our regulatory responsibilities. Moreover, the FDA and comparable foreign regulatory authorities require us to comply with GCPs for conducting, monitoring, recording, and reporting the results of clinical trials to assure that data and reported results are credible and accurate and that the rights, integrity, and confidentiality of trial participants are protected. As a clinical trial sponsor, we will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if and when we have an approved product, we will be required to report certain financial interests of our third-party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 frames. Failure to do so can result in enforcement actions and adverse publicity.</w:t>
      </w:r>
    </w:p>
    <w:p>
      <w:pPr>
        <w:pStyle w:val="TextBody"/>
        <w:bidi w:val="0"/>
        <w:jc w:val="left"/>
        <w:rPr>
          <w:rFonts w:ascii="Times New Roman" w:hAnsi="Times New Roman"/>
          <w:color w:val="000000"/>
          <w:sz w:val="20"/>
        </w:rPr>
      </w:pPr>
      <w:r>
        <w:rPr>
          <w:rFonts w:ascii="Times New Roman" w:hAnsi="Times New Roman"/>
          <w:color w:val="000000"/>
          <w:sz w:val="20"/>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any of our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deadlines or conduct any of our nonclinical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we will not be able to, or may be delayed in our efforts to, successfully commercialize such product candidate, or we or they may be subject to regulatory enforcement actions. As a result, our results of operations and the commercial prospects for such product candidate would be harmed, our costs could increase and our ability to generate revenue could be delayed. To the extent we are unable to successfully identify and manage the performance of third-party service providers in the future, our business may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contract with third parties, including single-source manufacturers, for the manufacture of materials and expect to continue to do so for the development and, if approved, commercialization of our product candidates. This reliance on third parties increases the risk that we will not have sufficient quantities of such materials or that such supply will not be available to us at an acceptable cost or timelines,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any manufacturing facilities. We contract with third parties, including single-source manufacturers, for the manufacture of materials for our product candidates, and we expect to continue to rely on such third parties for the manufacture of clinical and commercial supply of our product candidates. Reliance on these third parties introduces risks such as loss of control over quality and timing, regulatory compliance, supply interruptions, and potential misappropriation of proprietary information. If a third-party manufacturer fails to meet our requirements or terminates the relationship, we may not be able to secure an alternative in a timely or cost-effective manner, which could delay or prevent the development or commercialization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establish future agreements or maintain existing agreements with third-party manufacturers or to do so on acceptable terms for one or more of our material needs. Even if we are able to establish and maintain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failure of the third party to manufacture our product candidates according to our schedule, or at all, including if the third party gives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regulatory compliance, quality assurance, safety, and pharmacovigilance and related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any potential clinical development or marketing approval of our product candidates. We do not currently have arrangements in place for redundant supply for bulk drug substances.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one of our current contract manufacturers cannot perform as agreed, we may be required to replace that manufacturer, or we may be forced to manufacture the materials ourselves, for which we may not have the capabilities or resources, or enter into an agreement with a different third-party manufacturer, which we may not be able to do on reasonable terms, if at all. In either scenario, our clinical trial supply could be delayed significantly as we establish alternative supply sources. These materials must meet stringent regulatory standards, making it difficult to quickly qualify alternative 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the technical skills required to manufacture our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are required to change third-party manufacturers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FDA or another regulatory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delays associated with the verification of a new third-party manufacturer could negatively affect our ability to develop or commercialize our drug product candidates in a timely manner or within budget.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 third-party manufacturer may possess technology related to the manufacture of our product candidates that such third-party manufacturer owns independently. This would increase our reliance on such third-party manufacturer or require us to obtain a license from such third-party manufacturer in order to have another third-party manufacturer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changes in manufacturers often involve changes in manufacturing procedures and processes, which could require that we conduct bridging studies between prior clinical supply used in our clinical trials and that of any new manufacturer. We may be unsuccessful in demonstrating the comparability of clinical supplies which could require the conduct of additional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may adversely affect our future expenses and our ability to commercialize our product candidates, if we receive marketing approval, on a timely and competitive basis. Our reliance on single-source manufacturers also exposes us to pricing volatility and limits our ability to mitigate supply chain risks. If we are unable to secure adequate supply of materials to meet our operational needs, our ability to advance our pipeline, meet contractual obligations, or generate revenue could be materially and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workplace health and safety. Under certain environmental laws, we could be held responsible for costs relating to any contamination at third-party facilities. We also could incur significant costs associated with civil or criminal fines and penalties. Compliance with applicable environmental laws and regulations may be expensive, and current or future environmental laws and regulations may impair our research and product development efforts.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do not carry specific biological or hazardous waste insurance coverage, and our property, casualty, and general liability insurance policies specifically exclude coverage for damages and fines arising from biological or hazardous waste exposure or contamination.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Accordingly, in the event of contamination or injury, we could be held liable for damages or be penalized with fines in an amount exceeding our resources, and our clinical trials or regulatory approvals could be suspended, which could have a material adverse effect on our business, results of operations, financial condition, and prospects.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regulations, and permitting requirements. These current or future laws, regulations, and permitting requirements may impair our development, or production efforts. Failure to comply with these laws, regulations, and permitting requirements also may result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substantial fines, penalties, or other sanctions or business disruption, which could have a material adverse effect on our business, results of operations, financial condition, and prospects.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results of operations, financial condition,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not have access to the raw materials and other components necessary for the manufacturing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dependent on third parties, including single-source suppliers, for the supply of various materials that are necessary to produce our product candidates for our clinical trials. Even with supply agreements, it is possible that the supply may be reduced or interrupted at any time. In such case, we may not be able to find other suppliers of acceptable materials in appropriate quantities at an acceptable cost. If we lose key suppliers or the supply of materials is diminished or discontinued, we may not be able to continue to develop, manufacture and market our product candidates in a timely and competitive manner. In addition, these materials are subject to stringent manufacturing processes and rigorous testing. Delays in the completion and validation of facilities and manufacturing processes of these materials could adversely affect our ability to complete trials and commercialize our products in a cost-effective and timely manner. Any disruption in the supply of these raw materials and other components due to quality issues, regulatory enforcement actions, manufacturing delays, geopolitical instability, or financial difficulties of the third parties could significantly delay our development efforts. In some cases, we may not be able to obtain suitable alternatives on commercially reasonable terms, or at all, without incurring substantial time and cost to validate new suppliers and obtain necessary regulatory approvals. If we encounter difficulties in the supply of these materials, or if we are not able to maintain our supply agreements or establish new supply agreements in the future or incur increased production costs as a result of any of the foregoing, our product development and business prospects could be significantly compromised.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not able to establish future collaborations, we may have to alter some of our future development and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development programs and the potential commercialization of our product candidates will require substantial additional capital to fund expenses. We may decide to collaborate for the future development and potential commercialization of our product candidates. Furthermore, we may find that our programs require the use of proprietary rights held by third parties, and the growth of our business may depend in part on our ability to acquire, in-license or use these proprietary rights. For example, in January 2025, we entered into the Mabworks Agreement, pursuant to which we obtained licenses to develop, manufacture and commercialize CLYM116, and products containing CLYM116, in certain territories.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will likely have limited control over the amount and timing of resources that our collaborators dedicate to the development or commercialization of any product candidates we may seek to develop with them. We cannot predict the success of any collaboration that we have entered into or will enter into.</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many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the MHRA,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 consuming to negotiate and document.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there have been a significant number of recent business combinations among large pharmaceutical companies that have resulted in a reduced number of potential future collaborators. We may not be able to negotiate further collaborations on a timely basis, on acceptable terms, or at all. Even if we are able to obtain a license to intellectual property of interest, we may not be able to secure exclusive rights, in which case others could use the same rights and compete with us. Collaboration partners may not prioritize our product candidates or otherwise not effectively pursue the development of such product candidates which may delay, reduce 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Doing so will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and uncertainty surrounding U.S. and international trade policies, particularly with respect to China, may adversely impact our business and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evolving U.S. and international trade policies, particularly those targeting China, which can directly impact our supply chain, costs, and ability to collaborate with Chinese partners. Recent and proposed U.S. legislation, including the BIOSECURE Act and Section 1260H of the National Defense Authorization Act, may restrict or prohibit federal funding for contracts with certain Chinese biotechnology companies and could limit our ability to work with key suppliers and collaborators such as Mabworks.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collaboration with Mabworks is central to our pipeline, and any restrictions, tariffs, or sanctions affecting Chinese biotech firms could require us to identify and qualify alternative suppliers or partners, which may not be feasible on a timely or cost-effective basis. In addition, tariffs on pharmaceutical products and ingredients imported from China, as well as potential retaliatory actions by the Chinese government, could increase our manufacturing costs, disrupt supply of raw materials, and delay development timelines.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environment remains fluid, and future trade agreements, export controls, or sanctions could further impact our operations, costs, and competitive position. We may need to invest significant resources to adapt our supply chain, ensure compliance, and mitigate risks associated with geopolitical tensions and regulatory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manufacturers and suppliers are located in China. Prior to the recent imposing of tariffs on China, trade tensions and conflicts between the U.S. and China had been escalating in recent years and, as such, we are exposed to the possibility of product supply disruption and increased costs and expenses in the event of changes to the laws, rules, regulations and policies of the governments of the U.S.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BIOSECURE Act, signed into law in December 2025, prohibits U.S. federal agencies from utilizing or entering into or renewing a contract with any company that uses biotechnology equipment or services produced or provided by a “biotechnology company of</w:t>
        <w:br/>
        <w:t>concern” (BCC) in the performance of that contract. This legislation also restricts the ability of biopharmaceutical companies that</w:t>
        <w:br/>
        <w:t>enter into contracts with or receive funding from U.S. federal agencies from using such equipment or services in the performance of</w:t>
        <w:br/>
        <w:t>federal contracts or grants. The BIOSECURE Act lays out two processes by which a company can be determined to be a BCC, and no</w:t>
        <w:br/>
        <w:t>later than December 18, 2026, the Office of Management and Budget will publish a list of entities that satisfy the definition. On</w:t>
        <w:br/>
        <w:t>February 13, 2026, the Department of Defense published an updated 1260 list of “Chinese military companies,” which included WuXi</w:t>
        <w:br/>
        <w:t>AppTec (WuXi).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rely on certain foreign or foreign-owned third-party vendors, including WuXi and its affiliates, to manufacture certain materials used in the development of our product candidates or to provide services in connection with such development activities. In addition, we rely on Mabworks, a Chinese corporation, pursuant to the Mabworks Agreement, to conduct nonclinical studies of CLYM116 and to provide clinical supply of CLYM116 for these studies. If these bills become law, or similar laws are passed, they would have the potential to severely restrict the ability of companies to contract with certain Chinese BCCs without losing the ability to contract with, or otherwise receive funding from, the U.S. government. Such disruptions could have adverse effects on the development of our product candidates and our business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unfavorable government policies on international trade, such as export controls, capital controls or tariffs, may increase the cost of manufacturing our product candidates and platform materials, affect the demand for our product candidates (if and once approved), the competitive position of our product candidates, and import or export of raw materials and finished product candidates used in our nonclinical studies and clinical trials, particularly with respect to any product candidates and materials that we import from China. On September 25, 2025, via a post on Truth Social, President Trump announced that, beginning October 1, 2025, all branded or patented drugs imported in the U.S. would face a 100% tariff. At the same time, President Trump indicated that these tariffs could be avoided by building pharmaceutical manufacturing facilities in the U.S. Thereafter, President Trump delayed the October 1st effective date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tariffs on branded or patented pharmaceutical products announcing that the Trump Administration had now “begun preparing” tariffs on manufacturers that do not build in the U.S. or enter into a most-favored-nation drug pricing agreement with the Trump Administration. As a result of changes in tariffs that have been announced or implemented, and the underlying uncertainty currently surrounding international trade, we could experience a negative impact to our costs of materials and production processes, and supply chain disruptions and delays as a result of any new tariff policies or trade restrictions. We cannot yet predict the effect of the recently imposed U.S. tariffs on imports, or the extent to which other countries, in particular, China, will impose and maintain quotas, duties, tariffs, taxes or other similar restrictions upon imports or exports in the future, nor can we predict future trade policy or the terms of any renegotiated trade agreements and their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April 2025, the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 2026, President Trump issued a Proclamation invoking Section 232 of the Trade Expansion Act of 1962 to impose tariffs on imports of patented pharmaceuticals, biologics, and associated ingredients into the U.S. (the Proclamation). The Proclamation affects pharmaceutical manufacturers, importers, and supply chain participants. Specifically, beginning July 31, 2026, a 100% tariff will apply to pharmaceutical articles that are subject to a valid, unexpired U.S. patent and are listed in the FDA’s Approved Drug Products with Therapeutic Equivalence Evaluations (Orange Book) or are listed in the FDA’s Lists of Licensed Biological Products (Purple Book). The 100% tariff also applies to active pharmaceutical ingredients and key starting materials for such articles. Certain categories of products are exempt from these tariffs, including generic pharmaceuticals and biosimilars; U.S.-origin pharmaceutical products, active pharmaceutical ingredients and key starting materials; products classified in certain 10-digit tariff codes, listed in Annex IV of the Proclamation;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 and goods that qualify as “prototypes to be used exclusively for development, testing, product evaluation, or quality control purposes,” may be excluded from the additional tariffs.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heavily on certain in-licensed patents and other intellectual property rights in connection with our development of our product candidates and may be required to acquire or license additional patents or other intellectual property rights to continue to develop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heavily on patents, know-how and other intellectual property licensed from others. We are party to license agreements with each of CRH and Mabworks pursuant to each of which we are granted rights to intellectual property that are important to budoprutug and CLYM116,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may need to acquire or license intellectual property rights from additional third parties in the future in order to continue to develop or commercialize our product candidates. Any future license agreements where we in-license intellectual property may impose on us various development, regulatory or commercial diligence obligations, payment of milestones and royalties, and other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maintain, or enforce sufficient patent and other intellectual property rights, or if those rights are limited in scope, we may not be able to compete effectively or to develop, manufacture, or commercialize our product candidates. Licenses and collaborations may include diligence, milestone, royalty, field-of-use, or territorial restrictions; failure to comply can lead to termination and loss of rights. Complex license terms and disputes (scope, sublicensing, ownership, payments) can impact our freedom to operate, timelines, and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comply with any of the obligations under such license agreements, including payment terms and diligence terms, the licensors may have the right to terminate these agreements, in which case we may lose important intellectual property rights and we may not be able to develop, manufacture, market or sell our product candidates or may face other penalties under such agreements or be subject to litigation for breach of these agreements. In addition, such a termination could result in the licensor reacquiring the intellectual property rights and subsequently enabling a competitor to access the technology. Any such occurrence could materially adversely affect the value of any of our product candidates. Termination of license agreements or reduction or elimination of our rights under them may result in us having to negotiate a new or reinstated agreement, which may not be available on equally favorable terms, or at all, which may mean we are unable to develop or commercialize our product candidates.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instance, these licenses may not provide exclusive rights to use the subject intellectual property and technology in all relevant fields of use and in all territories in which we may wish to develop or commercialize our technology and our product candidates in the future, such as provisions under the license agreement with CRH prohibiting us from developing our product candidates for oncology indications, or provisions under the Mabworks Agreement prohibiting us from undertaking certain activities in Greater China. In that event, we may be required to expend significant time and resources to redesign our technology or the methods for manufacturing or to develop or license replacement technology, all of which may not be feasible on a technical or commercial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agreements under which we currently license, and may license in the future, intellectual property or technology from third parties are complex, and certain provisions in such agreements may be susceptible to multiple interpretations. Accordingly, material disputes may arise between us and our licensors, regarding intellectual property subject to such license agreement,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if any,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practice of any rights reserved by our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 licensor had the right to grant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third parties are entitled to compensation or equitable relief, such as an injunction, for our use of the intellectual property without their authorization;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its right to sublicense patent and other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complying with our obligations with respect to the use of the licensed technology in relation to our development and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involvement in the prosecution of the licensed patents and our licensors’ overall patent enforcement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allocation of ownership of inventions and know-how resulting from the creation or use of intellectual property by our licensors and by us and our partners, including jointly developed intellectual property;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of royalties, milestones or other payments due under the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financial or other benefits it might otherwise receive under the relevant agreement. If material disputes over intellectual property that we have licensed prevent or impair our ability to maintain licensing arrangements on acceptable terms or are insufficient to provide us the necessary rights to use the intellectual property, we may be unable to successfully develop and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any such licensors fail to adequately protect the relevant in-licensed intellectual property, our ability to commercialize our product candidates could suffer. Any material disputes with licensors or any termination of the licenses on which we depend would have a material adverse effect on our business, results of operations, financial condition and prospects.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With respect to budoprutug, we own two pending U.S. provisional applications, nine pending U.S. nonprovisional patent applications, three pending PCT applications and eight pending ex-U.S. patent applications, and we have also exclusively licensed four issued U.S. patents and at least 45 ex-U.S. patents or patent applications under our license agreement with CRH. With respect to CLYM116, we have one exclusively in-licensed PCT application under the Mabworks Agreement and co-own five pending U.S. provisional patent applications with Mabworks. We can provide no assurance that any of our current or future patent applications will result in issued patents for budoprutug or CLYM116. If we are unable to obtain, maintain and protect sufficient patent and other intellectual property rights for our product candidates and technology, or if the scope of patent and other intellectual property rights obtained is not sufficiently broad, we may not be able to compete effectively in our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significant part on our ability and the ability of our licensors, or future licensors, licensees or collaborators to obtain, maintain, enforce and defend patents and other intellectual property rights with respect to budoprutug, CLYM116, or any other product candidates we may develop and to operate our business without infringing, misappropriating or otherwise violating the intellectual property rights of others.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patent applications may not issue or may issue with limited scope, and issued patents can be challenged or circumvented, reducing our ability to prevent competitors from developing similar therapies. Oppositions, post-grant reviews, inter partes reviews, or litigation can narrow, invalidate, or render patents unenforceable, increasing costs and impacting collaborations and financing. Prosecution, maintenance, or enforcement errors, or lack of alignment with licensors, may compromise protection or priority.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budoprutug, we own two pending U.S. provisional applications, nine pending U.S. nonprovisional patent applications, three pending PCT applications and eight pending ex-U.S. patent applications. We also have exclusively licensed four issued U.S. patents and at least 45 ex-U.S. patents or patent applications under our license agreement with CRH. With respect to CLYM116, we have one exclusively in-licensed PCT application under the Mabworks Agreement and co-own five pending U.S. provisional patent applications with Mabworks. We can provide no assurance that any of these current patent applications or future patent applications will result in issued patents or that any issued patents will provide us with any competitive advantage. Failure to obtain issued patents could have a material adverse effect on our ability to develop and commercialize budoprutug, CLYM116 or any other product candidates we may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other parties may successfully challenge, invalidate or circumvent our issued patents so that our patent rights do not create an effective competitive barrier or revenue source.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U.S. provisional patent application is not eligible to become an issued patent until, among other things, we file nonprovisional patent application within 12 months of filing of the provisional patent application.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our licensors are not fully cooperative or disagree with us as to the prosecution, maintenance or enforcement of any patent rights, such patent rights could be compromised.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are material defects in the form, preparation, prosecution, or enforcement of our or our licensors’ patents or patent applications, such patents may be invalid and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U.S. and abroad.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may be subject to a third-party pre-issuance submission of prior art to the United States Patent and Trademark Office (USPTO) or become involved in opposition, derivation, revocation, reexamination, </w:t>
      </w:r>
      <w:r>
        <w:rPr>
          <w:rFonts w:ascii="Times New Roman" w:hAnsi="Times New Roman"/>
          <w:i/>
          <w:color w:val="000000"/>
          <w:sz w:val="20"/>
        </w:rPr>
        <w:t xml:space="preserve">inter partes </w:t>
      </w:r>
      <w:r>
        <w:rPr>
          <w:rFonts w:ascii="Times New Roman" w:hAnsi="Times New Roman"/>
          <w:color w:val="000000"/>
          <w:sz w:val="20"/>
        </w:rPr>
        <w:t xml:space="preserve">review, post-grant review or interference proceedings challenging our patent rights or the patent rights of others, or other proceedings in the USPTO or applicable foreign offices that challenge priority of invention or other features of patentability.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adverse determination in any such submission, proceeding or litigation could result in loss of exclusivity or freedom to operate, patent claims being narrowed, invalidated or held unenforceable, in whole or in part, limit the scope or duration of the patent protection of budoprutug, CLYM116 or any other product candidates, all of which could limit our ability to stop others from using or commercializing similar or identical product candidates or technology to compete directly with us, without payment to us, or result in our inability to manufacture or commercialize product candidates or approved products (if any) without infringing third-party patent rights. In addition, if the breadth or strength of protection provided by our patents and patent applications is threatened, regardless of the outcome, it could dissuade companies from collaborating with us to license, develop or commercialize budoprutug, CLYM116 or any other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the USPTO and courts in the U.S. or the patent offices and courts in foreign countries will consider the claims in our patents and applications covering budoprutug, CLYM116 and any other product candidates as patentable.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Method-of-use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including through legal action.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cannot obtain or lose patent protection for budoprutug, CLYM116 or any other product candidates, it could have a material adverse impact on our business. Additionally, as a licensee, we rely on third parties to file and prosecute patent applications and maintain patents and otherwise protect the licensed intellectual property under some of our license agreements. For example, under the license agreement with CRH, CRH is responsible for prosecuting and maintaining intellectual property protection for budoprutug in consultation with us. We have not had and do not have primary control over these activities for certain of our in-licensed patents or patent applications and other intellectual property rights. For example, we cannot be certain that such activities by CRH or other licensors will be conducted in compliance with applicable laws and regulations or will result in valid and enforceable patents and other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limited control over the manner in which CRH’s or our other licensors may initiate an infringement proceeding against a third-party infringer of such intellectual property rights, or defend certain intellectual property that may be licensed to us. It is possible that CRH or our other licensors infringement proceeding or defense activities may be less vigorous than if we conduct them ourselves. We cannot be certain that such activities by third parties have been or will be conducted in compliance with applicable laws and regulations or will result in valid and enforceable patents or other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under the Mabworks Agreement, Mabworks is responsible for prosecuting and maintaining intellectual property protection for CLYM116 in Greater China in consultation with us. We have not had and do not have primary control over these activities in Greater China for CLYM116.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certain that such activities by Mabworks will be conducted in compliance with applicable laws and regulations or will result in valid and enforceable patents and other intellectual property rights in Greater China.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their or our interests in the licensed patents. Even if we are not a party to these legal actions, an adverse outcome could harm our business because it might prevent us from continuing to license intellectual property that we may need to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licensors or any of our future licensors or future collaborators fail to appropriately prosecute and maintain patent protection for patents covering our product candidates, our ability to develop and commercialize our product candidates may be adversely affected and we may not be able to prevent competitors from making, using and selling competing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where we have the right to control prosecution of patent applications we have acquired or licensed from third parties, we may still be adversely affected or prejudiced by actions or inactions of our licensors and their counsel that took place prior to our assuming control over patent prosecution. The patent prosecution process is expensive and time-consuming. We and our licensors, and any future licensors, licensees or collaborators, may not be able to prepare, file and prosecute all necessary or desirable patent applications at a reasonable cost or in a timely manner.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also possible that we or our licensors will fail to identify patentable aspects of our research and development output in time to obtain patent protection or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or other third party’s patent application may pose obstacles to our ability to obtain patent protection or limit the scope of the patent protection we may obtain.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enter into non-disclosure and confidentiality agreements with parties who have access to confidential or patentable aspects of our research and development output, such as our employees, collaborators, CROs, CDMOs,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the initial filing date, or in some cases not at all. Therefore, we cannot be certain that we or our future licensors were the first to make the inventions claimed in our owned or any future licensed patents or pending patent applications, or were the first to file for patent protection of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technology acquired or licensed from various third parties, including our licensors, may be subject to retained rights. Our licensors often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difficult to monitor whether our licensors limit their use of the technology to these uses, and we could incur substantial expenses to enforce our rights to its licensed technology in the event of misuse by the licensor.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uncertain, involves complex legal and factual questions and is the subject of much litigation. As a result, the issuance, scope, validity, enforceability and commercial value of our and our current or future licensors’ patent rights are uncertain.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and our future licensors’ pending, and future patent applications may not result in patents being issued that protect our technology or product candidates, in whole or in part, or which effectively exclude others from commercializing competitive technologies and product candidates. The patent examination process may require us or our future licensors to narrow the scope of the claims of our pending and future patent applications, and therefore, even if such patent applications issue as patents, they may not issue in a form that will provide us with any meaningful protection, prevent competitors or other third parties from competing with us or otherwise provide us with any competitive advantage.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and our licensors’ patent applications cannot be enforced against third parties practicing the technology claimed in pending applications unless and until a patent issues from such applications, and then only to the extent the issued claims cover such technology. Any patents that we hold or license, or may in-license in the future may be challenged, narrowed, circumvented or invalidated by third parties. Consequently, we do not know whether budoprutug, CLYM116 or any other product candidates will be protectable or remain protected by valid and enforceable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or other third parties may be able to circumvent our patents by developing similar or alternative technologies or products in a non-infringing manner. Any of the foregoing could impair our competitive position and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patent protection we obtain for budoprutug, CLYM116 or any other product candidates and technologies may be challenged and rendered invalid or unenforceable.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challenges, including oppositions, post-grant reviews, inter partes reviews, derivations, and litigation, can narrow, invalidate, or render our patents unenforceable, reducing exclusivity and enabling competitors to commercialize similar technologies. Adverse outcomes may limit our ability to prevent competition, shorten patent duration, or require costly and time-consuming legal proceedings.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owned or co-owned patent applications issue as patents, the issuance of any such patents is not conclusive as to their inventorship, scope, validity or enforceability, and such patents or patents we license from third parties, may be challenged, invalidated, narrowed or held to be unenforceable, including in the courts or patent offices in the U.S. and abroad, or circumvented.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licensors may be subject to a third-party preissuance submission of prior art to the USPTO or equivalent foreign bodies, or become involved in opposition, derivation, revocation, re-examination, post-grant and inter partes review or interference proceedings challenging our or our licensors’ patent rights or the patent rights of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adverse determination in any such submission, proceeding or litigation could reduce the scope of, or invalidate, our or our licensors’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or derivation proceedings declared by the USPTO to determine priority or ownership of invention or in post-grant challenge proceedings, such as oppositions in a foreign patent office, that challenge priority of invention or other features of patentability. Such proceedings and any other patent challenges may result in loss of patent rights, loss of exclusivity, loss of priority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costs and require significant time from our scientists and management, even if the eventual outcome is favorable to us. Moreover, there could be public announcements of the results of hearings, motions or other developments related to any of the foregoing proceedings. If securities analysts or investors perceive those results to be negative, it could cause the price of shares of our common stock to decline. Any of the foregoing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third parties for development, manufacturing, and other services requires us to share trade secrets and confidential information, increasing the risk of misappropriation, inadvertent disclosure, or incorporation into others’ technology. While we use confidentiality and related agreements, these may not provide adequate protection or remedies, and monitoring compliance is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challenging. If competitors lawfully obtain or independently develop our trade secrets, or if unauthorized disclosure occurs, our competitive position could be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these contractual agreements with third parties, sharing trade secrets and other confidential information increases the risk that such trade secrets become known by our competitors, are inadvertently incorporated into the technology of others or are disclosed or used in violation of these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that our proprietary position is based, in part, on our know-how and trade secrets, a competitor’s discovery of our trade secrets or other unauthorized use or disclosure would impair our competitive position and may harm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the patents of our licensors or other intellectual property, which could be expensive, time-consuming and unsuccessful, and issued patents covering our technology and product candidates could be found invalid or unenforceable if challenged.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Intellectual property litigation can be costly and time-consuming; adverse outcomes (invalidity, unenforceability, narrow claim construction) can limit our ability to prevent competition and harm our business. Litigation may also result in disclosure of confidential information and distract management, and enforcement can be especially challenging in some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and other third parties may infringe, misappropriate or otherwise violate our owned, co-owned and licensed patents or other intellectual property. In addition, our owned, co-owned and licensed patents may become involved in inventorship or priority disputes. Our pending patent applications cannot be enforced against third parties practicing the technology claimed in such applications unless and until a patent is issued from such applications. To counter infringement or other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 patent infringement proceeding, a court may decide that an owned, co-owned or licensed patent of ours is invalid or unenforceable, in whole or in part, construe the patent’s claims narrowly or refuse to stop the other party from using the technology at issue on the grounds that our owned, co-owned and licensed patents do not cover the technology. An adverse result in any litigation proceeding could put one or more of our owned, co-owned or licensed patents at risk of being invalidated, held unenforceable or interpreted narrowly. We may find it impractical or undesirable to enforce our intellectual property against some third parties.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patent litigation in the U.S.,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w:t>
      </w:r>
    </w:p>
    <w:p>
      <w:pPr>
        <w:pStyle w:val="TextBody"/>
        <w:bidi w:val="0"/>
        <w:jc w:val="left"/>
        <w:rPr>
          <w:rFonts w:ascii="Times New Roman" w:hAnsi="Times New Roman"/>
          <w:color w:val="000000"/>
          <w:sz w:val="20"/>
        </w:rPr>
      </w:pPr>
      <w:r>
        <w:rPr>
          <w:rFonts w:ascii="Times New Roman" w:hAnsi="Times New Roman"/>
          <w:color w:val="000000"/>
          <w:sz w:val="20"/>
        </w:rPr>
        <w:t xml:space="preserve">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us or declared by the USPTO may be necessary to determine the ownership or priority of inventions with respect to our patents or patent applications. An unfavorable outcome could require us to cease using the related technology or to attempt to license rights to it from the prevailing party. Such licenses may not be available on commercially reasonable terms, or at all, or may be non-exclusive.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and maintain such licenses, we may need to cease the development, manufacture and commercialization of one or more of the product candidates we may develop. In addition, if we, our existing licensors or any future licensors are unsuccessful in any inventorship disputes to which we or they are subject, we may lose valuable intellectual property rights, such as exclusive ownership of, or the exclusive right to use, our owned, licensed or any future in-licensed patents. The loss of exclusivity or the narrowing of such patent claims could limit our ability to stop others from using or commercializing similar or identical technology and products. Any of the foregoing could harm our business. Even if we are successful in any of the foregoing disputes, it could result in substantial costs and be a distraction to management and other employees. Furthermore, because of the substantial amount of discovery required in connection with intellectual property litigation, there is a risk that some of our confidential information could be compromised by disclosure during this type of litigation or proceeding.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w:t>
      </w:r>
    </w:p>
    <w:p>
      <w:pPr>
        <w:pStyle w:val="TextBody"/>
        <w:bidi w:val="0"/>
        <w:jc w:val="left"/>
        <w:rPr>
          <w:rFonts w:ascii="Times New Roman" w:hAnsi="Times New Roman"/>
          <w:color w:val="000000"/>
          <w:sz w:val="20"/>
        </w:rPr>
      </w:pPr>
      <w:r>
        <w:rPr>
          <w:rFonts w:ascii="Times New Roman" w:hAnsi="Times New Roman"/>
          <w:color w:val="000000"/>
          <w:sz w:val="20"/>
        </w:rPr>
        <w:t>Most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initiate anticipated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protections for proprietary intellectual property vary in jurisdictions throughout the world. The enforcement of intellectual property rights can be difficult and costly, and some jurisdictions provide weaker protection than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may use our technology in countries where we lack protection or where enforcement is limited and may export infringing products into protected markets. Efforts to enforce rights abroad can be expensive, time-consuming, and may not yield meaningful remedies, limiting our ability to secure a commercial advantage. Filing, prosecuting, maintaining, defending and enforcing patents and other intellectual property rights on budoprutug, CLYM116 or any other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may use our technologies in jurisdictions where we have not obtained patent protection or other intellectual property rights to develop their own products and may export otherwise infringing, misappropriating or violating products to territories where we have patent or other intellectual property protection, but enforcement rights are not as strong as those in the U.S. These products may compete with budoprutug, CLYM116 or any other product candidates, and our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some countries do not favor the enforcement of patents and other intellectual property rights, which could make it difficult for us to stop the infringement, misappropriation or other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countries, including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be inadequate to obtain a significant commercial advantage from the intellectual property that we develop or license, which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budoprutug, CLYM116 or any other product candidates in any jurisdiction. For example, freedom-to-operate analyses may miss relevant third-party rights or misinterpret scope or expiration, leading to infringement risk, redesigns, licensing costs, or delays. If we fail to identify or correctly interpret relevant patents, we may face costly litigation, delays, or be forced to obtain licenses on unfavorable terms, which could adversely affect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applications in the U.S. and elsewhere are published approximately 18 months after the earliest filing for which priority is claimed, with such earliest filing date being commonly referred to as the priority date. Therefore, patent applications covering budoprutug, CLYM116 or any other product candidates could have been filed by third parties without our knowledge. Additionally, pending patent applications that have been published can, subject to certain limitations, be later amended in a manner that could cover budoprutug, CLYM116 or any other product candidates or their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failure to identify and correctly interpret relevant patents may negatively impact our ability to develop and market such product candidates. If we fail to identify and correctly interpret relevant patents or if we are unable to obtain licenses to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harm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in the agreements under which we license intellectual property rights from our licensors, otherwise experience disruption to our business relationships with our licensors, or we are unable to obtain licenses from other third parties on commercially reasonable terms or fail to comply with our obligations under such agreements, we could lose license rights that are important to our business and our business could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a number of license agreements under which we are granted rights to intellectual property that are important to our business, and we may enter into additional license agreements in the future for budoprutug, CLYM116 or any other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existing license agreements impose on us, and we expect that any future license agreements where we in-license intellectual property will impose on us, various development, regulatory and commercial diligence obligations, payment of milestones and royalties and other obligations. If we fail to comply with our obligations under these agreements, or we are subject to bankruptcy-related proceedings, our licensors may have the right to terminate our licenses, in which case, we would not be able to market products covered by the licenses. Additionally, non-compliance with license terms (e.g., payment, diligence, reporting, or other obligations) can lead to termination or re-purchase of assets, loss of rights, or restrictions that delay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acquired our right to a number of licenses pursuant to the Asset Purchase Agreement, as well as from license agreements that Tenet entered into in connection with the Asset Purchase Agreement. Those license agreements impose on us various development, regulatory and commercial diligence obligations, payment of milestones and royalties and other obligations. To the extent a Product (as such term is defined in the Asset Purchase Agreement) exists under the Asset Purchase Agreement, Climb may also have diligence and payment obligations to Acelyrin, and Acelyrin may have certain related rights if we fail to comply with diligence obligations, including the right to re-purchase the Transferred Assets (as defined in the Asset Purchase Agreement), including our rights to the licenses subject to the Asset Purchase Agreement, in which case, we may not be able to market or develop such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CLYM116, we have an existing license agreement with Mabworks, which imposes on us various development, regulatory and commercial diligence obligations, payment of milestones and royalties and other obligations. If we fail to comply with our obligations under the license agreement, Mabworks may have the right to terminate the license agreement, in which case, we may not be able to market or develop CLYM116.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licensed rights may require renegotiation on less favorable terms, or may enable competitors to access the technology, materially harming our business. We may need to obtain additional licenses from third parties to advance our research or commercialize budoprutug, CLYM116 or any other product candidates, and we cannot provide any assurances that third-party patents do not exist that might be enforced against budoprutug, CLYM116 or such other product candidates in the absence of such a license.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budoprutug, CLYM116 or any other product candidates, which could materially harm our business and the third parties owning such intellectual property rights could seek either an injunction prohibiting our sales, or, with respect to our sales, an obligation on our part to pay royalties and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or payment obligations,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rights and other rights to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licenses;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licensors and our affiliates and sublicensees and by us and our partners and sublicensees.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not be able to successfully develop and commercialize our product candidates, which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our patents and patent applications in the future may be co-owned with third parties. If we are unable to obtain an exclusive license to any such co-owners’ interest in such patents or patent applications, such co-owners may be able to license their rights to other third parties, including our competitors, who could market competing products and technology. In addition, we may need the cooperation of any such co-owners to enforce such patents against third parties, and such cooperation may not be provided to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budoprutug, CLYM116 or any other product candidates for an adequate amount of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Patents have a limited lifespan. Even with possible extensions, patent protection may expire before or shortly after commercialization, enabling earlier competition and potentially reducing the amount of revenue we are able to generate from sale of any of our product candidates that receive approval. If we do not have sufficient patent life to protect our product candidates, our business and competitive position may be adversely affected.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budoprutug, CLYM116 or any other product candidates are obtained, once the patent life has expired for a product candidate, we may be open to competition from competitive medications, including generic medications.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product candidates might expire before or shortly after such product candidates are commercialized. As a result, our owned, co-owned and licensed patent portfolio may not provide us with sufficient rights to exclude others from commercializing product candidates similar or identical to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intend, or understand that our licensors intend, to pursue additional patent protection covering, when possible, compositions, methods of use, methods of manufacture, and dosing and formulations of budoprutug and CLYM116.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patent that may be issued from our nine owned pending U.S. nonprovisional patent applications, three owned pending PCT applications and six of our eight owned pending ex-U.S. patent applications relating to budoprutug is expected to expire in 2045, excluding any patent term adjustment (PTA) that might be available following the grant of any such patent and any patent term extension (PTE) that might be available following the grant of marketing authorizations.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budoprutug, the issued patents, or patents that may be issued from the pending patent applications that we exclusively in-license from CRH are expected to expire beginning in December 2026, excluding any PTA that might be available following the grant of any such patent and any PTE that might be available following the grant of marketing authorizations. In the case of one of the U.S. patents exclusively in-licensed from CRH, the patent term is adjusted by 1703 days and is expected to expire in August 2031. In each instance of the above, our patent portfolio may not provide us with sufficient rights to exclude others from commercializing products similar or identical to budoprutug.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patent that may be issued from our pending patent applications co-owned with Mabworks relating to CLYM116 is expected to expire in 2046 or 2047, excluding any PTA that might be available following the grant of any such patent and any PTE that might be available following the grant of marketing authorizations.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CLYM116, the patents that may be issued from the pending patent application that we exclusively in-license from Mabworks are expected to expire in 2044, excluding any PTA that might be available following the grant of any such patent and any PTE that might be available following the grant of marketing authorizations. In each instance of the above, our patent portfolio may not provide us with sufficient rights to exclude others from commercializing products similar or identical to CLYM116.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budoprutug, CLYM116 or any other product candidates, one or more of our U.S. owned, co-owned or licensed patents may be eligible for limited PTE under the Drug Price Competition and Patent Term Restoration Act of 1984, referred to as the Hatch-Waxman Amendments, and one or more of our foreign owned, co-owned or licensed patents may be eligible for PTE under similar legislation, for example, in the EU. In the U.S., the Hatch-Waxman Amendments permit a PTE of up to five years for a patent covering an approved product as compensation for effective patent term lost during product development and the FDA regulatory review process. However, there are no assurances that the FDA or any comparable foreign regulatory authority or national patent office will grant such extensions, in whole or in part. For example,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PTE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this occurs, our competitors may take advantage of our investment in development and trials by referencing our clinical and nonclinical data and launch their product earlier than might otherwise be the case, and our competitive position and business could be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patent law could diminish the value of our patents, thereby impairing our ability to protect our intellectual property for budoprutug, CLYM116 or any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is heavily dependent on intellectual property, particularly patents. Obtaining and enforcing patents in the pharmaceutical industry is inherently uncertain, due in part to ongoing changes in the patent laws. Legal and policy changes can alter patentability, validity standards, and challenge mechanisms, affecting our ability to obtain, maintain, and enforce intellectual property protections. Court decisions, legislative reforms, and evolving international standards may narrow patent scope, increase uncertainty, and raise costs for intellectual property prosecution, enforcement, and defense. Depending on decisions by Congress, the federal courts, and the USPTO and equivalent institutions in other jurisdictions, the laws and regulations governing patents, and interpretation thereof, could change in unpredictable ways that could weaken our ability to obtain new patents or to enforce existing or future patents.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For example, the U.S. Supreme Court has ruled on several patent cases in recent years, either narrowing the scope of patent protection available in certain circumstances or weakening the rights of patent owners in certain situations.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Therefore, there is increased uncertainty with regard to our ability to obtain patents in the future, as well as uncertainty with respect to the value of patents once obtained.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Recent patent reform legislation could increase the uncertainties and costs surrounding the prosecution of our patent applications and the enforcement or defense of our issued and licensed patents. Assuming that other requirements for patentability are met, prior to March 2013, in the U.S., the first to invent the claimed invention was entitled to the patent, while outside the U.S., the first to file a patent application was entitled to the patent.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After March 2013, under the Leahy-Smith America Invents Act (Leahy-Smith Act) enacted in September 2011, the U.S.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However, the Leahy-Smith Act and its implementation could increase the uncertainties and costs surrounding the prosecution of our patent applications and the enforcement or defense of our issued or licensed patents, all of which could harm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if we fail to comply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any patents and patent applications are required to be paid to the USPTO and foreign patent agencies in several stages over the lifetime of a patent. In certain circumstances, we may rely on our licensors to pay these fees. The USPTO and various foreign patent agencies also require compliance with a number of procedural, documentary, fee payment and other similar requirements during the patent application and prosecution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Administrative errors or missed deadlines (by us or licensors) can lead to abandonment or loss of rights. Failure to pay fees, respond to official actions, or submit required documents can result in loss of patent protection in relevant jurisdictions. If we or our licensors, or any future licensors or collaborators, fail to maintain the patents and patent applications covering budoprutug, CLYM116 or any other product candidates, our competitors might be able to enter the market with similar or identical products or technology, which would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negatively impact the success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and the ability of any of our collaborators to develop, manufacture, market and sell budoprutug, CLYM116 and any other product candidates and use our proprietary technologies without infringing, misappropriating or otherwise violating the intellectual property and other proprietary rights of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considerable intellectual property litigation in the biotechnology and pharmaceutical industries. We may become party to, or be threatened with, future adversarial proceedings or litigation regarding intellectual property rights with respect to budoprutug, CLYM116 or any other product candidates and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In the event that any of these patents were asserted against us, we believe that we would have defenses against any such action, including that such patents are not valid or that we would be able to replace such technology with alternative, non-infringing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if any such patents were to be asserted against us and our defenses to such assertion were unsuccessful and such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product candidates that were ultimately held to infringe such patents. Any potential future legal proceedings relating to these patents could cause us to incur significant expenses, and could distract our technical and management personnel from their normal responsibilities. If we are unsuccessful in our challenges to these patents and become subject to litigation or are unable to obtain a license on commercially reasonable terms with respect to these patents, it could harm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allege that we are infringing, misappropriating, or otherwise violating their intellectual property rights. Defending such claims can be costly, time-consuming, and distracting. If we are found to infringe, we may be required to obtain licenses (which may not be available on reasonable terms), pay damages, or cease development or commercialization of affected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required to indemnify collaborators or licensors, further increasing costs. Any of these outcomes could materially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we or our employees have infringed upon, misappropriated or otherwise violated their intellectual property rights, or claiming ownership of what we regard as our own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 or consultant background intellectual property claims can lead to disputes, costs, delays, or loss of rights. We may face allegations that our personnel used or disclosed proprietary information from prior employers, or that we do not own inventions developed by our team. Litigation or disputes over intellectual property ownership can be costly, distract management, and may result in loss of rights or personnel. Litigation may be necessary to defend against these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Intellectual property litigation can be expensive, time-consuming, and may divert management and technical personnel from core business activities. Even successful outcomes can result in significant costs and operational disruption. Public proceedings may also impact our reputation or stock price.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Uncertainties resulting from the initiation and continuation of patent litigation or other proceedings could compromise our ability to compete in the marketplace, including compromising our ability to raise the funds necessary to initiate anticipated clinical trials, continue our research programs, license necessary technology from third parties or enter into development collaborations that would help us commercialize budoprutug, CLYM116 or any other product candidates, if approved. Any of the foregoing events would harm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trade secrets and know-how to protect proprietary technology, especially where patent protection is unavailable or inappropriate. Trade secrets can be difficult to protect, and confidentiality agreements and security measures may be breached, and remedies may be inadequate. If our trade secrets are disclosed, misappropriated, or independently developed by competitors, our competitive position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U.S. are less willing or unwilling to protect trade secrets.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common in the biotechnology industry, we engage the services of consultants to assist us in the development of our product candidates. Many of these consultants were previously employed at, or may have previously provided or may be currently providing consulting services to, other biotechnology companies including our competitors or potential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become subject to claims that we or our consultants inadvertently or otherwise used or disclosed trade secrets or other information proprietary to our consultants’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protect and enforce our trademarks and trade names or build name recognition in our markets of interest thereby harming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rely on both registered and common law rights for our trademarks. We plan to apply to register these trademarks with the USPTO and may in the future seek to register additional trademarks in the U.S. and other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Trademark protection may be limited or unavailable in some jurisdictions, and third parties may oppose, cancel, or infringe our marks. Failure to secure or enforce trademarks can diminish brand value, create confusion, and harm our competitive position. Building name recognition in our markets of interest may be challenging, and litigation or administrative proceedings to protect trademarks can be costly and uncertain.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Even robust intellectual property may not prevent all competition; alternative technologies, off-label use, safe-harbor R&amp;D, and missed filings can erode intellectual property 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may independently develop similar or alternative technologies, design around our patents, or benefit from aspects of our inventions that are not patentable or not protected. Intellectual property rights may not cover all threats, and the patents of others may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to any product candidates we may develop or utilize similar technology but that are not covered by the claims of the patents that we own, co-own or license now or own, co-own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licensors, might not have been the first to make the inventions covered by the issued patent or pending patent application that we own, co-own or license now or own, co-own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licensors, might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owned, co-owned or licensed patent applications or those that we may own, co-own or license in the future will not lead to issued patents; issued patents that we hold rights to may be held invalid or unenforceable, including as a result of legal challenges by our competitors;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U.S. under FDA-related safe harbor patent infringement exemptions or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they could harm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 and Employee Matters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upon which we rely, such as CROs, are or were compromised or interrupted, we could experience adverse consequences resulting from such compromise or interruption,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our business, we may collect, store, use, transmit, disclose, or otherwise process proprietary, confidential, and sensitive data, including personal data (such as health-related data), intellectual property, and trade secrets using information technology networks and systems, including the Internet and artificial intelligence-based software.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data and information technology systems, and those of the third parties upon which we rely. Such threats are prevalent and continue to increase and are becoming increasingly difficult to detect. These threats come from a variety of 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traditional computer “hackers,” threat actors, “hacktivists”, organized criminal threat actors, personnel (such as through theft or misuse), sophisticated nation-states, and nation-state-supported actors now engage in attacks.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upon which we rely, such as CROs, may be subject to a variety of evolving threats, including but not limited to social-engineering attacks, including through the use of artificial intelligence and deep fakes, which may become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geopolitical developments, earthquakes, fires, floods, and other similar threats. 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We also rely upon third-party service providers and technologies to operate critical business systems to process confidential information and personal data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We may share or receive sensitive data with or from third parties, and if they experience a security incident or other interruption, we could experience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increasingly distributed nature of computing, including prevalent use of mobile devices to access confidential information and</w:t>
        <w:br/>
        <w:t>widespread use of cloud-based applications hosted in remote data centers, increases the risk of security breaches and incidents. Similarly, supply-chain attacks have increased in frequency and severity, and we cannot guarantee that third parties and infrastructure in our supply chain or our third-party partners’ supply chains have not been affected.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personnel work from home, which poses increased risks to our information technology systems and data as they utilize network connections outside our premises. 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data or our information technology systems, or those of the third parties upon whom we rely. Additionally, sensitive data could be leaked, disclosed, or revealed as a result of or in connection with our employee’s, personnel’s, or vendor’s use of generative artificial intelligence technologies. If such an event were to occur,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expend significant resources or modify our business activities, including future clinical trial activities, to protect against security incidents. Certain data privacy and security obligations may require us to implement and maintain specific security measures, industry-standard or reasonable security measures to protect our information technology systems and data. While we have implemented security measures designed to protect against security incidents, there can be no assurance that these measures will be effective.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take steps to detect and remediate vulnerabilities, but we may be unable in the future to detect and remediate vulnerabilities because such threats and techniques change frequently, are often sophisticated in nature, and therefore may not be detected until after a security incident has occurred. These vulnerabilities therefore may pose material risks to our business. Further, we may experience delays in developing and deploying remedial measures designed to address any such identified vulnerabilities.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consequences may include: government enforcement actions (for example, investigations, fines, penalties, audits, and inspections); additional reporting requirements and oversight; restrictions on processing data, including personal data; litigation, including class claims; indemnification obligations; negative publicity; reputational harm; monetary expenditures; interruptions in our operations, including availability of data; financial loss; and other similar harms.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Security incidents and attendant consequences may cause delays in the development of our product candidates and negatively impact our ability to grow and operate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attract and retain management and other key personnel, we may be unable to continue to successfully develop or commercialize our product candidates or otherwise implement our business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compete effectively in the pharmaceuticals industry depends on our ability to attract and retain highly qualified managerial, scientific, medical, legal, sales and marketing and other personnel. We are highly dependent on recruiting and retaining our management and scientific personnel. The loss of the services of any of these key personnel or the inability to recruit suitable replacements could impede or delay the successful development of our product candidates, completion of our clinical trials, and negatively impact our ability to implement our business plan. We also rely on the services of consultants and advisors who may have other commitments, which could limit their availability and impact our ability to execute our business strategy.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and vendors may engage in misconduct or other improper activities, including non-compliance with regulatory standards and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the risk that our employees, independent contractors, consultants, licensors, commercial collaborators, principal investigators, CROs and vendors may engage in fraudulent conduct or other illegal activity. Misconduct by these parties could include intentional, reckless or negligent conduct or unauthorized activities that violate (1) the laws and regulations of the FDA, the EMA, the MHRA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U.S. and abroad and (4)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information obtained in the course of clinical trials, creating fraudulent data in our nonclinical studies or clinical trials or illegal misappropriation of product candidates, which could result in regulatory sanctions and harm our reputation.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adopted a code of business conduct and ethics,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and the delay, reduction, termination or restructuring of our operations.</w:t>
      </w:r>
    </w:p>
    <w:p>
      <w:pPr>
        <w:pStyle w:val="TextBody"/>
        <w:bidi w:val="0"/>
        <w:jc w:val="left"/>
        <w:rPr>
          <w:rFonts w:ascii="Times New Roman" w:hAnsi="Times New Roman"/>
          <w:b/>
          <w:i/>
          <w:color w:val="000000"/>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internationally adds regulatory complexity, pricing and reimbursement variability, foreign exchange and logistics risks, and exposure to geopolitical and anti-corruption issues that can delay or limit market access. We may face different regulatory requirements, reduced intellectual property protection, trade restrictions, currency fluctuations, tax consequences, and challenges in staffing and managing foreign operations. Political instability, public health emergencies, and other disruptions can further impact our ability to operate and grow outside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strategy incorporates potential international expansion as we seek to conduct clinical trials, obtain regulatory approval for, and commercialize, our product candidates in patient populations outside the U.S. For example, we are actively conducting clinical trials in multiple countries outside of the U.S., including in Australia, China, and Europe. If budoprutug, CLYM116 or any of our future product candidates are approved in international jurisdictions, we may hire sales representatives and conduct physician and patient association outreach activities outside of the U.S. Doing business internationally involves a number of risks,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multiple, conflicting and changing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us to obtain and maintain regulatory approvals for the use of our products in various countries; rejection or qualification of foreign clinical trial data by the competent authorities of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interruptions in the supply of clinical trial materials resulting from any events affecting raw material supply or manufacturing capabilities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potentially relevant third-party patent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complexities and difficulties in obtaining, maintaining, protecting and enforcing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complexities associated with managing multiple payor reimbursement regimes, government payors or patient self-pay systems;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limits in our ability to penetrate international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risks, such as longer payment cycles, difficulty collecting accounts receivable, the impact of local and regional financial crises on demand and payment for our product candidates and exposure to foreign currency exchange rate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the resulting effect on our revenue and expenses and the cost and risk of entering into hedging transactions if we chose to do so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political and economic instability, including wars, terrorism and political unrest, outbreak of disease, including related public health guidance measures, boycotts, curtailment of trade and other business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expenses including, among others, expenses for travel and insurance;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and compliance risks that relate to anti-corruption compliance and record-keeping that may fall within the purview of the Foreign Corrupt Practices Act, its accounting provisions or its anti-bribery provisions or provisions of anti-corruption or anti-bribery laws in other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factors could harm our future international expansion and operations and, consequently, our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utilize a significant portion of our net operating loss carryforwards.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net operating loss (NOL) carryforwards of approximately $55.8 million for federal income tax purposes, $63.2 million for foreign income tax purposes and $9.5 million for state income tax purposes. The federal NOLs may be used to offset up to 80% of future taxable income each year while the state and foreign losses may be used to offset up to 100% of future taxable income. The federal and foreign NOL carryforwards can be carried forward indefinitely while the state NOL carryforwards will begin to expire in varying amounts in 2038. The NOL carryforwards subject to expiration could expire unused and be unavailable to offset future income tax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utilize a significant portion of our NOL carryforwards or tax credits due to limitations under tax law, including Section 382 and 383 ownership change rules, and similar or corresponding provisions of foreign and state law, changes in tax law, or insufficient future taxable income. If we are unable to use these tax attributes, our future cash flows and financial condition could be adversely affected.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and may continue to seek to grow our business through acquisitions or investments in new or complementary businesses, products or technologies, through the licensing of products or technologies from third parties or through other strategic alliances, and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continually enhance and broaden our product offerings in response to changing clinician and patients’ needs, competitive technologies and market pressures. Accordingly, we have and may continue to consider opportunities to acquire, make investments in or license other technologies, products and businesses that may enhance our capabilities, complement our existing products and technologies or expand the breadth of our markets or customer base. For example, we entered into the Mabworks Agreement where we acquired licenses for the development, manufacture and commercialization of CLYM116 and products containing CLYM116 in certain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and completed acquisitions, strategic investments, licenses and other alliances, including our acquisition of Tenet and the Mabworks Agreement, involve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assimilating or integrating acquired or licensed technologies, products, employees or business operations; issues maintaining uniform standards, procedures, controls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costs associated with acquisitions or strategic alliances, including the assumption of unknown or contingent liabilities and the incurrence of debt or future write-offs of intangible assets or goodwill;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our core business and disruption of ongoing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effects on existing business relationships with suppliers, sales agents, health care facilities, surgeons and other health care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associated with entering new markets in which we have limited or no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losses related to investments in other companies;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 of key employees of acquired businesses;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legal and accounting compliance costs.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 finance any acquisitions, investments or strategic alliances, we may choose to issue shares of our common stock as consideration, which could dilute the ownership of our stockholders. For example, in June 2024 we issued 5,560,047 shares of our common stock as consideration in connection with the closing of the Acquisition, and we issued 31,238,282 shares of our common stock in connection with the closing of the Acquisition P</w:t>
      </w:r>
      <w:r>
        <w:rPr>
          <w:rFonts w:ascii="Times New Roman" w:hAnsi="Times New Roman"/>
          <w:color w:val="231F20"/>
          <w:sz w:val="20"/>
        </w:rPr>
        <w:t xml:space="preserve">rivate Placement, </w:t>
      </w:r>
      <w:r>
        <w:rPr>
          <w:rFonts w:ascii="Times New Roman" w:hAnsi="Times New Roman"/>
          <w:color w:val="000000"/>
          <w:sz w:val="20"/>
        </w:rPr>
        <w:t>resulting in the issuance of a total of an additional 36,798,329 shares of our common stock. In addition, in April 2026, we issued 9,481,000 shares of our common stock and pre-funded warrants to purchase 2,106,000 shares of our common stock in connection with the closing of the 2026 P</w:t>
      </w:r>
      <w:r>
        <w:rPr>
          <w:rFonts w:ascii="Times New Roman" w:hAnsi="Times New Roman"/>
          <w:color w:val="231F20"/>
          <w:sz w:val="20"/>
        </w:rPr>
        <w:t>rivate Placement.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price of our common stock is low or volatile, we may be unable to consummate any acquisitions, investments or strategic alliances using our common stock as consideration. Additional funds may not be available on terms favorable to us, or at all.</w:t>
      </w:r>
    </w:p>
    <w:p>
      <w:pPr>
        <w:pStyle w:val="TextBody"/>
        <w:bidi w:val="0"/>
        <w:spacing w:before="0" w:after="240"/>
        <w:jc w:val="left"/>
        <w:rPr>
          <w:rFonts w:ascii="Times New Roman" w:hAnsi="Times New Roman"/>
          <w:sz w:val="20"/>
        </w:rPr>
      </w:pPr>
      <w:r>
        <w:rPr>
          <w:rFonts w:ascii="Times New Roman" w:hAnsi="Times New Roman"/>
          <w:b/>
          <w:i/>
          <w:color w:val="000000"/>
          <w:sz w:val="20"/>
        </w:rPr>
        <w:t>Our expanding use of AI exposes us to operational, regulatory, legal and ethical risks that could adversely affect our business, reputation, financial condition and results of operations.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increasingly develop, procure, and deploy AI and machine learning (ML) tools across our operations. While these tools may create efficiencies, they also introduce risks related to data quality and bias, transparency and explainability, validation and lifecycle management, cybersecurity, intellectual property, privacy, discrimination, liability, and third-party dependencies. Errors or bias in AI outputs, inadequate monitoring, or insufficient documentation could impair clinical development, pharmacovigilance, manufacturing quality, or commercial activities, resulting in delays, higher costs, product or batch actions, or reputational harm. The emergence of AI and other technologies may exacerbate other risks, including those related to regulation, litigation, compliance issues, ethical concerns, confidentiality, and data privacy or security. For example, regulatory uncertainty related to AI or other emerging technologies may require significant resources to adjust business practices to comply with developing laws. Several governmental authorities have already proposed or enacted laws and other guidance governing AI.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example, in the U.S., the FDA has outlined a risk-based credibility framework for AI used to support drug and biologics development, signaling expectations for context of use validation, lifecycle maintenance, traceability and explainability; these expectations could increase development costs and elongate review. These and other developing obligations may prevent or make it harder for us to conduct or enhance our business using AI, or lead to regulatory fines, penalties, or other liability. Further, use of AI technologies could lead to unintended consequences, such as data leakage, healthcare fraud and abuse, cybersecurity incidents, intellectual property infringement, or unintended biases. Our AI use must also comply with privacy regimes, including the U.K. GDPR and EU GDPR (e.g., restrictions on automated decision making and profiling, and stringent transparency and data subject rights). Divergent and evolving requirements across jurisdictions may require region specific controls, duplicated validation, or delayed deployments; failure to comply could lead to investigations, fines, injunctions, adverse regulatory outcomes, litigation, loss of market access or reputational damage.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trading price of our common stock has been and may continue to be volatile, and purchasers of our common stock could incur substantial losses.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stock price has been volatile and is likely to remain volatile. The stock market in general and the market for biotechnology companies in particular have also experienced extreme volatility that has often been unrelated to the operating performance of particular companies. The market price for our common stock may continue to be volatile in the future and may be influenced by many factors,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or results of any clinical trials or nonclinical development activities we may conduct, or changes in the development status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from, delays in or termination of our clinical trials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results of regulatory interactions and review for any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lower than expected market acceptance of our product candidates following approval for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by us or by any securities analysts who might cover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or trends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market price and volume fluctuations of comparable companies and, in particular, those that operate in the pharmaceutical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strategic transactions, significant acquisitions, strategic partnerships or divestitures;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general perception of our company and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by institutional or activist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our business, including pipeline reprioritizations and restructurings;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intellectual property rights, including patents, litigation matters and our ability to obtain, maintain, defend, protect and enforce patent and other intellectual property rights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threats of or actual 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proposed changes to healthcare laws in the U.S. or foreign jurisdictions, or speculation regarding such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political and economic conditions, including as a result of geopolitical instability;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the other factors described in this “Risk Factors” section, many of which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stockholders have initiated class action lawsuits against pharmaceutical and biotechnology companies following periods of volatility in the market prices of these companies’ stock, in particular following significant drops in stock price. Such litigation, if instituted against us, could cause us to incur substantial costs and divert management’s attention and resources from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current volatile market for biotechnology stocks, in particular where shares are trading below cash balances, certain biotechnology investors have advocated for increases in short-term stockholder value through proposed corporate actions such as financial restructurings, special dividends, stock repurchases, mergers, other business combinations or sales of assets. Any such proposals directed at us could cause us to incur substantial costs and divert management’s attention and resources from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our stockholders’ sole source of gain.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broad discretion in the use of our cash, cash equivalents and marketable securities and may not use them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has broad discretion in the application of our cash, cash equivalents and marketable securities and could use such funds in ways that do not improve our results of operations or enhance the value of our common stock or in ways that our stockholders may not agree with. The failure by our management to apply these funds effectively could result in financial losses that could cause the price of our common stock to decline and delay the development of our product candidates. Pending their use, we may invest these funds in a manner that does not produce income or that loses value.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significant portion of our common stock may be sold into the market,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Sales of substantial amounts of our common stock, or the perception that such sales could occur, could cause the market price of our common stock to decline and impair our ability to raise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registered and intend to continue to register all shares of common stock that we may issue under our equity compensation plans. These shares can be freely sold in the public market upon issuance, subject to volume limitations applicable to affiliates.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Additionally, a significant number of our shares of our common stock and shares of our common stock issuable upon the exercise of pre-funded warrants,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without limitation. If these additional shares are sold, or if it is perceived that they will be sold, in the public market, the trading price of our common stock could decline.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Acquisition Private Placement, we entered into a registration rights agreement, pursuant to which we are required to register for resale the shares purchased in the Acquisition Private Placement and the consideration issued in the Acquisition. Pursuant to this agreement, in July 2024, we filed a registration statement covering the resale of the shares purchased by the purchasers in the Acquisition Private Placement and the consideration issued in connection with the Acquisition. In addition, in connection with the 2026 Private Placement, we filed a registration statement covering the resale of the shares of our common stock and the shares of our common stock issuable upon exercise of the pre-funded warrants purchased in the 2026 Private Placement.</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agreed to use commercially reasonable efforts to cause such registration statement to become effective as soon as practicable after it was filed with the SEC and to keep such registration statement effective until the date the shares covered by the registration statement have been sold or can be resold without restriction under Rule 144 of the Securities Act.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and Delaware law could make an acquisition of our company more difficult and may prevent attempts by stockholders to replace or remove current management. Such provisions may discourage proxy contests, delay or prevent mergers or acquisitions, and limit the ability of stockholders to influence corporate actions. Our amended and restated certificate of incorporation and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for a classified board of directors whose members serve staggered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any action to be taken by our stockholders be effected at a duly called annual or special meeting and not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our board of directors or our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for cause only upon the vote of the holders of at least 66 2/3% of our outstanding shares of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common stock to amend our bylaws and certain provisions of our certificate of incorporation.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members of our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Delaware General Corporation Law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the market price of our common stock to decline.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permitted by Section 145 of the DGCL, our amended and restated bylaws and our indemnification agreements that we have entered into with our directors and officers provide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retroactively amend our amended and restated bylaw provisions to reduce our indemnification obligations to directors, officers, employees and agents. Claims for indemnification may reduce our available funds to satisfy third-party claims or to invest in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ownership of our common stock among our existing executive officers, directors and principal stockholders, including affiliates of RA Capital Management L.P. (RA Capital Management), may limit or prevent new investors from influencing significant corporate decisions and also reduces the public float for our common stock, which could make our common stock less attractive to some investors or otherwise harm our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our executive officers, directors and current beneficial owners of 5% or more of our common stock, in the aggregate, beneficially own approximately 42.5% of our outstanding common stock, inclusive of affiliates of RA Capital Management, which owns approximately 19.8% of our outstanding common stock, but they have the right to exercise pre-funded warrants at any time to purchase up to 33.0% of our common stock (as described below). These stockholders, acting together, are able to significantly influence all matters requiring stockholder approval, including the election of directors and any merger or other significant corporate transaction. The interests of this group of stockholders may not coincide with the interests of other stockholders.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as a result of this concentration of ownership, there is a limited number of shares of our common stock that are not held by officers, directors and principal stockholders (which is referred to as our public float), thereby adversely impacting the liquidity of our common stock and potentially depressing the price at which our stockholders’ may be able to sell shares of common stock. This concentration may limit our stockholders’ ability to influence corporate matters and could delay or prevent a change in control.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entered into the Exchange Agreement with RA Capital Management and an entity affiliated with RA Capital Management (the Exchanging Holder) pursuant to which the Exchanging Holder exchanged an aggregate of 20,440,000 shares of our common stock beneficially owned by the Exchanging Holder for a pre-funded warrant to purchase the same number of shares of our common stock. The shares of our common stock exchanged by the Exchanging Holder were retired, and we had 47.7 million shares of common stock outstanding immediately after the transaction. The pre-funded warrant is exercisable at any time, however, the Exchanging Holder will not be entitled to exercise any portion of the pre-funded warrant if, upon giving effect or immediately prior to such exercise, such exercise would result in the aggregate number of shares of our common stock beneficially owned by RA Capital Management, the Exchanging Holder and their respective affiliates, collectively, to exceed 33.0% of the number of shares of our common stock issued and outstanding immediately after giving effect to such exercise, as such percentage ownership is determined in accordance with the terms of the pre-funded warrant. The Exchanging Holder may increase or decrease such percentage to any other percentage not in excess of 33.0%; provided that any such increase will not be effective until the 61st day after notice from the Exchanging Holder is delivered to us. In addition, in accordance with the terms of the Exchange Agreement, RA Capital Management and the Exchanging Holder have agreed to, and to cause each other account or fund managed by or affiliated with RA Capital Management to, vote all securities beneficially owned by them or their respective affiliates in excess of 33.0% of the total voting power of our outstanding capital stock, in proportion to and in accordance with the vote of all of our stockholders (excluding RA Capital Management and the Exchanging Holder and their respective affiliates). In addition, RA Capital Management purchased additional pre-funded warrants in the 2026 Private Placement, and the shares issuable upon the exercise of such pre-funded warrants will be subject to the Exchange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identified material weaknesses in our internal control over financial reporting. If we are unable to remediate these material weaknesses,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completion of our IPO, we were a private company with limited accounting personnel to adequately execute our accounting processes and other supervisory resources with which to address our internal control over financial reporting. In connection with the preparation of our consolidated financial statements for the year ended December 31, 2020, we identified material weaknesses in our internal control over financial reporting, two of which remain unremediated as of June 30, 2026. The unremediated material weaknesses, and our remediation plan, are disclosed in Item 4, “Controls and Procedures,” of this Quarterly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we have made substantial progress toward achieving the effectiveness of our internal control over financial reporting and disclosure controls and procedures. The actions that have been taken are subject to continued review and testing by management as well as oversight by the audit committee of our board of directors. We will not be able to conclude whether the steps we have taken will fully remediate these material weaknesses in our internal control over financial reporting until we have completed our remediation efforts and subsequent evaluation of their effectiveness.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remediate these weaknesses, or if additional weaknesses are identified, we may not be able to accurately or timely report our financial condition or results of operations, which could adversely affect our business and reputation. Failure to maintain effective internal controls could also result in regulatory investigations, actions, or negative impacts on our stock price.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reporting requirements of the Securities Exchange Act of 1934, as amended (Exchange Act), the Sarbanes-Oxley Act, and the rules and regulations of the Nasdaq Stock Market. Section 302 of the Sarbanes-Oxley Act requires, among other things, that we report on the effectiveness of our disclosure controls and procedures in our quarterly and annual reports and Section 404 of the Sarbanes-Oxley Act requires that we perform system and process evaluation and testing of our internal control over financial reporting to allow management to report on the effectiveness of our internal control over financial reporting in our Form 10-K filings.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cannot assure you that the measures we have taken to date, and are continuing to implement, or any measures we may take in the future, will be sufficient to identify or prevent future material weaknesses.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or a smaller reporting company with less than $100 million in revenue.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 or other regulatory authorities. In addition, our common stock may not be able to remain listed on the Nasdaq Stock Market or any other securities exchange.</w:t>
      </w:r>
    </w:p>
    <w:p>
      <w:pPr>
        <w:pStyle w:val="TextBody"/>
        <w:bidi w:val="0"/>
        <w:jc w:val="left"/>
        <w:rPr>
          <w:rFonts w:ascii="Times New Roman" w:hAnsi="Times New Roman"/>
          <w:b/>
          <w:i/>
          <w:color w:val="000000"/>
          <w:sz w:val="20"/>
        </w:rPr>
      </w:pPr>
      <w:r>
        <w:rPr>
          <w:rFonts w:ascii="Times New Roman" w:hAnsi="Times New Roman"/>
          <w:b/>
          <w:i/>
          <w:color w:val="000000"/>
          <w:sz w:val="20"/>
        </w:rPr>
        <w:t>Our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These provisions may restrict our stockholders’ ability to choose the judicial forum for disputes with us or our directors, officers, or employees, and may discourage lawsuits or increase costs if a court finds such provisions unenforceable.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amended and restated certificate of incorporation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provisions are intended to benefit and may be enforced by us, our officers and directors, employees and agents, including the underwriters for any offering giving rise to such complaint and any other professional or entity who has prepared or certified any part of the document underlying the offering and may result in increased costs for stockholders to bring a claim.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court were to find either choice of forum provision contained in our amended and restated certificate of incorporation to be inapplicable or unenforceable in an action, we may incur additional costs associated with resolving such action in other jurisdictions.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have been, and may in the future become, involved in litigation that could result in significant costs, divert the attention of management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litigation arising in the ordinary course of business or from specific events. These matters may relate to a wide range of issues, including contracts, intellectual property, employment matters, data protection and privacy, product liability, securities laws, stockholder allegations, or other business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believe we have strong defenses, we may decide to settle claims for business or strategic reasons, particularly when the risks, costs, and burdens of litigation outweigh the potential benefits of continuing to defend a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outcomes are unpredictable and the number and complexity of claims may increase as our business grows. Any current or future legal proceedings could materially adversely affect our business, financial condition, cash flows, and operating results.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equity research analysts publish unfavorable research or reports, about us, our business or our market,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stock price and trading volume may be influenced by equity research analysts’ reports published about us or our business, which we do not control. Unfavorable opinions or reports by an equity research analyst or downgrade by one or more equity research analysts could cause our stock price to decline.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stock price,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Unfavorable global economic conditions, including volatility, inflation, recession, banking instability, military conflicts, sanctions, tariffs, and trade policy changes, could adversely affect our business, financial condition, stock price, and results of operations. These factors may impact our ability to raise capital, conduct clinical trials, and achieve operating goals.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and increases in unemployment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financial markets and the global economy may also be adversely affected by the current or anticipated impact of military conflicts or other geopolitical events. Sanctions, tariffs and general trade policy changes imposed by the U.S. and other countries may also continue to adversely impact the financial markets and the global economy, and any economic countermeasures by the affected countries or others could exacerbate market and economic instability.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as a result of the reduced reporting requirements applicable to “emerging growth companies” and “smaller reporting companies,” our common stock may be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and exemptions from the requirements of holding a nonbinding advisory vote on executive compensation and stockholder approval of any golden parachute payments not previously approved. We may take advantage of these exemptions until we are no longer an “emerging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 an “emerging growth company” until December 31, 2026. We are also a “smaller reporting company,” as defined in the Exchange Act. Even after we no longer qualify as an “emerging growth company,” we may still qualify as a “smaller reporting company,” which would allow us to continue to take advantage of many of the same exemptions from disclosure requirements. We cannot predict if investors will find our common stock less attractive because we may rely on these exemptions. If some investors find our common stock less attractive as a result, there may be a less active trading market for our common stock and the price of our common stock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unable to maintain adequate insurance coverage.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presently have general liability, workers’ compensation, directors’ and officers’, cybersecurity, and product liability insurance coverage. Although we believe we will be able to maintain such coverage for a reasonable cost and obtain any additional coverages that our business may require, no assurances can be made that we will be able to do so.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seriously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tax laws or regulations, including the Organization for Economic Co-operation and Development Pillar Two rules and U.S. legislation such as the One Big Beautiful Bill Act or other tax related legislation, could adversely affect our business, financial performance, and tax treatment of future earnings. Existing tax laws may also be interpreted or applied adversely to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Director and Officer Trading Arrangements</w:t>
      </w:r>
    </w:p>
    <w:p>
      <w:pPr>
        <w:pStyle w:val="TextBody"/>
        <w:bidi w:val="0"/>
        <w:jc w:val="left"/>
        <w:rPr>
          <w:rFonts w:ascii="Times New Roman" w:hAnsi="Times New Roman"/>
          <w:color w:val="000000"/>
          <w:sz w:val="20"/>
        </w:rPr>
      </w:pPr>
      <w:r>
        <w:rPr>
          <w:rFonts w:ascii="Times New Roman" w:hAnsi="Times New Roman"/>
          <w:color w:val="000000"/>
          <w:sz w:val="20"/>
        </w:rPr>
        <w:t>The adoption or termination of contracts, instructions or written plans for the purchase or sale of our securities by our Section 16 officers and directors for the three months ended June 30, 2026, which is intended to satisfy the affirmative defense conditions of Rule 10b5-1(c) under the Exchange Act (“Rule 10b5-1 Plan”), was as follows:</w:t>
      </w:r>
    </w:p>
    <w:tbl>
      <w:tblPr>
        <w:tblW w:w="10205" w:type="dxa"/>
        <w:jc w:val="left"/>
        <w:tblInd w:w="0" w:type="dxa"/>
        <w:tblLayout w:type="fixed"/>
        <w:tblCellMar>
          <w:top w:w="28" w:type="dxa"/>
          <w:left w:w="28" w:type="dxa"/>
          <w:bottom w:w="28" w:type="dxa"/>
          <w:right w:w="28" w:type="dxa"/>
        </w:tblCellMar>
      </w:tblPr>
      <w:tblGrid>
        <w:gridCol w:w="964"/>
        <w:gridCol w:w="976"/>
        <w:gridCol w:w="1505"/>
        <w:gridCol w:w="1128"/>
        <w:gridCol w:w="2689"/>
        <w:gridCol w:w="2750"/>
        <w:gridCol w:w="193"/>
      </w:tblGrid>
      <w:tr>
        <w:trPr/>
        <w:tc>
          <w:tcPr>
            <w:tcW w:w="96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9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6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(Title)</w:t>
            </w:r>
          </w:p>
        </w:tc>
        <w:tc>
          <w:tcPr>
            <w:tcW w:w="9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Action taken</w:t>
              <w:br/>
              <w:t>(Date of Action)</w:t>
            </w:r>
          </w:p>
        </w:tc>
        <w:tc>
          <w:tcPr>
            <w:tcW w:w="15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 of Trading Arrangement</w:t>
            </w:r>
          </w:p>
        </w:tc>
        <w:tc>
          <w:tcPr>
            <w:tcW w:w="11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Nature of Trading</w:t>
              <w:br/>
              <w:t>Arrangement</w:t>
            </w:r>
          </w:p>
        </w:tc>
        <w:tc>
          <w:tcPr>
            <w:tcW w:w="26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Duration of Trading</w:t>
              <w:br/>
              <w:t>Arrangement</w:t>
            </w:r>
          </w:p>
        </w:tc>
        <w:tc>
          <w:tcPr>
            <w:tcW w:w="27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Maximum Number of Securities to be Purchased or Sold Pursuant to the Rule 10b5-1 Trading Plan </w:t>
            </w:r>
          </w:p>
        </w:tc>
        <w:tc>
          <w:tcPr>
            <w:tcW w:w="193"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Stephen Thomas</w:t>
              <w:br/>
              <w:t> (Director)</w:t>
            </w:r>
          </w:p>
        </w:tc>
        <w:tc>
          <w:tcPr>
            <w:tcW w:w="9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color w:val="000000"/>
              </w:rPr>
              <w:t> </w:t>
            </w:r>
            <w:r>
              <w:rPr>
                <w:rFonts w:ascii="Times New Roman" w:hAnsi="Times New Roman"/>
                <w:color w:val="000000"/>
                <w:sz w:val="18"/>
              </w:rPr>
              <w:t>Adoption</w:t>
              <w:br/>
              <w:t> (June 16, 2026)</w:t>
            </w:r>
          </w:p>
        </w:tc>
        <w:tc>
          <w:tcPr>
            <w:tcW w:w="15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Rule 10b5-1</w:t>
            </w:r>
            <w:r>
              <w:rPr>
                <w:rFonts w:ascii="Times New Roman" w:hAnsi="Times New Roman"/>
                <w:color w:val="000000"/>
                <w:sz w:val="20"/>
              </w:rPr>
              <w:t> </w:t>
            </w:r>
            <w:r>
              <w:rPr>
                <w:rFonts w:ascii="Times New Roman" w:hAnsi="Times New Roman"/>
                <w:color w:val="000000"/>
                <w:sz w:val="18"/>
              </w:rPr>
              <w:t>trading arrangement</w:t>
            </w:r>
          </w:p>
        </w:tc>
        <w:tc>
          <w:tcPr>
            <w:tcW w:w="11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w:t>
            </w:r>
          </w:p>
        </w:tc>
        <w:tc>
          <w:tcPr>
            <w:tcW w:w="26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color w:val="000000"/>
              </w:rPr>
              <w:t> </w:t>
            </w:r>
            <w:r>
              <w:rPr>
                <w:rFonts w:ascii="Times New Roman" w:hAnsi="Times New Roman"/>
                <w:color w:val="000000"/>
                <w:sz w:val="18"/>
              </w:rPr>
              <w:t>Until September 15, 2027, or, if earlier, upon the completed sale of the maximum shares</w:t>
            </w:r>
          </w:p>
        </w:tc>
        <w:tc>
          <w:tcPr>
            <w:tcW w:w="27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100,000</w:t>
            </w:r>
          </w:p>
        </w:tc>
        <w:tc>
          <w:tcPr>
            <w:tcW w:w="193"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i_item6"/>
      <w:bookmarkEnd w:id="19"/>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30"/>
        <w:gridCol w:w="6293"/>
        <w:gridCol w:w="586"/>
        <w:gridCol w:w="752"/>
        <w:gridCol w:w="736"/>
        <w:gridCol w:w="808"/>
      </w:tblGrid>
      <w:tr>
        <w:trPr/>
        <w:tc>
          <w:tcPr>
            <w:tcW w:w="1030" w:type="dxa"/>
            <w:tcBorders/>
            <w:vAlign w:val="center"/>
          </w:tcPr>
          <w:p>
            <w:pPr>
              <w:pStyle w:val="TableContents"/>
              <w:bidi w:val="0"/>
              <w:spacing w:before="0" w:after="283"/>
              <w:jc w:val="left"/>
              <w:rPr>
                <w:sz w:val="4"/>
                <w:szCs w:val="4"/>
              </w:rPr>
            </w:pPr>
            <w:r>
              <w:rPr>
                <w:sz w:val="4"/>
                <w:szCs w:val="4"/>
              </w:rPr>
            </w:r>
          </w:p>
        </w:tc>
        <w:tc>
          <w:tcPr>
            <w:tcW w:w="629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0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Incorporated by Reference</w:t>
            </w:r>
            <w:r>
              <w:rPr>
                <w:rFonts w:ascii="Times New Roman" w:hAnsi="Times New Roman"/>
                <w:color w:val="000000"/>
                <w:sz w:val="20"/>
              </w:rPr>
              <w:t xml:space="preserve"> </w:t>
            </w:r>
          </w:p>
        </w:tc>
      </w:tr>
      <w:tr>
        <w:trPr/>
        <w:tc>
          <w:tcPr>
            <w:tcW w:w="1030"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6293"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75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80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6293" w:type="dxa"/>
            <w:tcBorders/>
            <w:tcMar>
              <w:top w:w="0" w:type="dxa"/>
              <w:left w:w="0" w:type="dxa"/>
              <w:bottom w:w="0" w:type="dxa"/>
              <w:right w:w="0" w:type="dxa"/>
            </w:tcMar>
            <w:vAlign w:val="center"/>
          </w:tcPr>
          <w:p>
            <w:pPr>
              <w:pStyle w:val="TableContents"/>
              <w:bidi w:val="0"/>
              <w:jc w:val="left"/>
              <w:rPr/>
            </w:pPr>
            <w:hyperlink r:id="rId3">
              <w:r>
                <w:rPr>
                  <w:rStyle w:val="InternetLink"/>
                  <w:rFonts w:ascii="Times New Roman" w:hAnsi="Times New Roman"/>
                  <w:color w:val="0000FF"/>
                  <w:sz w:val="20"/>
                  <w:u w:val="single"/>
                </w:rPr>
                <w:t>Agreement and Plan of Merger and Reorganization, dated as of April 10,</w:t>
              </w:r>
            </w:hyperlink>
          </w:p>
          <w:p>
            <w:pPr>
              <w:pStyle w:val="TableContents"/>
              <w:bidi w:val="0"/>
              <w:jc w:val="left"/>
              <w:rPr/>
            </w:pPr>
            <w:hyperlink r:id="rId4">
              <w:r>
                <w:rPr>
                  <w:rStyle w:val="InternetLink"/>
                  <w:rFonts w:ascii="Times New Roman" w:hAnsi="Times New Roman"/>
                  <w:color w:val="0000FF"/>
                  <w:sz w:val="20"/>
                  <w:u w:val="single"/>
                </w:rPr>
                <w:t>2024, by and among the Company, Tango Merger Sub, Inc., Tenet</w:t>
              </w:r>
            </w:hyperlink>
          </w:p>
          <w:p>
            <w:pPr>
              <w:pStyle w:val="TableContents"/>
              <w:bidi w:val="0"/>
              <w:jc w:val="left"/>
              <w:rPr/>
            </w:pPr>
            <w:hyperlink r:id="rId5">
              <w:r>
                <w:rPr>
                  <w:rStyle w:val="InternetLink"/>
                  <w:rFonts w:ascii="Times New Roman" w:hAnsi="Times New Roman"/>
                  <w:color w:val="0000FF"/>
                  <w:sz w:val="20"/>
                  <w:u w:val="single"/>
                </w:rPr>
                <w:t>Medicines, Inc. and, solely in his capacity as the Company Equityholder</w:t>
              </w:r>
            </w:hyperlink>
          </w:p>
          <w:p>
            <w:pPr>
              <w:pStyle w:val="TableContents"/>
              <w:bidi w:val="0"/>
              <w:spacing w:before="0" w:after="283"/>
              <w:jc w:val="left"/>
              <w:rPr/>
            </w:pPr>
            <w:hyperlink r:id="rId6">
              <w:r>
                <w:rPr>
                  <w:rStyle w:val="InternetLink"/>
                  <w:rFonts w:ascii="Times New Roman" w:hAnsi="Times New Roman"/>
                  <w:color w:val="0000FF"/>
                  <w:sz w:val="20"/>
                  <w:u w:val="single"/>
                </w:rPr>
                <w:t>Representative, Stephen Thomas.</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001-40708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4/11/2024</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629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Certificate of Incorporation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001-40708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11/12/2024</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629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Bylaws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001-40708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10/2/2024</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 Director Compensation Policy</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6293"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Securities Purchase Agreement, dated April 27, 2026, by and among the Company and the Investors party thereto</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001-40708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4/28/2026</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629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Registration Rights Agreement</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001-40708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4/28/2026</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293"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2021 Equity Incentive Plan, as amended</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001-40708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6/8/2026</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293" w:type="dxa"/>
            <w:tcBorders/>
            <w:tcMar>
              <w:top w:w="0" w:type="dxa"/>
              <w:left w:w="0" w:type="dxa"/>
              <w:bottom w:w="0" w:type="dxa"/>
              <w:right w:w="0" w:type="dxa"/>
            </w:tcMar>
            <w:vAlign w:val="center"/>
          </w:tcPr>
          <w:p>
            <w:pPr>
              <w:pStyle w:val="TableContents"/>
              <w:bidi w:val="0"/>
              <w:spacing w:before="0" w:after="283"/>
              <w:jc w:val="left"/>
              <w:rPr/>
            </w:pPr>
            <w:hyperlink w:anchor="cly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293" w:type="dxa"/>
            <w:tcBorders/>
            <w:tcMar>
              <w:top w:w="0" w:type="dxa"/>
              <w:left w:w="0" w:type="dxa"/>
              <w:bottom w:w="0" w:type="dxa"/>
              <w:right w:w="0" w:type="dxa"/>
            </w:tcMar>
            <w:vAlign w:val="center"/>
          </w:tcPr>
          <w:p>
            <w:pPr>
              <w:pStyle w:val="TableContents"/>
              <w:bidi w:val="0"/>
              <w:spacing w:before="0" w:after="283"/>
              <w:jc w:val="left"/>
              <w:rPr/>
            </w:pPr>
            <w:hyperlink w:anchor="cly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293" w:type="dxa"/>
            <w:tcBorders/>
            <w:tcMar>
              <w:top w:w="0" w:type="dxa"/>
              <w:left w:w="0" w:type="dxa"/>
              <w:bottom w:w="0" w:type="dxa"/>
              <w:right w:w="0" w:type="dxa"/>
            </w:tcMar>
            <w:vAlign w:val="center"/>
          </w:tcPr>
          <w:p>
            <w:pPr>
              <w:pStyle w:val="TableContents"/>
              <w:bidi w:val="0"/>
              <w:spacing w:before="0" w:after="283"/>
              <w:jc w:val="left"/>
              <w:rPr/>
            </w:pPr>
            <w:hyperlink w:anchor="cly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293" w:type="dxa"/>
            <w:tcBorders/>
            <w:tcMar>
              <w:top w:w="0" w:type="dxa"/>
              <w:left w:w="0" w:type="dxa"/>
              <w:bottom w:w="0" w:type="dxa"/>
              <w:right w:w="0" w:type="dxa"/>
            </w:tcMar>
            <w:vAlign w:val="center"/>
          </w:tcPr>
          <w:p>
            <w:pPr>
              <w:pStyle w:val="TableContents"/>
              <w:bidi w:val="0"/>
              <w:spacing w:before="0" w:after="283"/>
              <w:jc w:val="left"/>
              <w:rPr/>
            </w:pPr>
            <w:hyperlink w:anchor="cly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and 32.2 hereto are deemed to be furnished with this Quarterly Report and will not be deemed to be “filed” for purposes of Section 18 of the Securities Exchange Act of 1934, as amended, except to the extent that the Registrant specifically incorporates it by reference.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846"/>
        <w:gridCol w:w="109"/>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Climb Bio,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Aoife Brennan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Aoife Brennan, M.B., Ch.B.</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tbl>
      <w:tblPr>
        <w:tblW w:w="5002" w:type="dxa"/>
        <w:jc w:val="left"/>
        <w:tblInd w:w="0" w:type="dxa"/>
        <w:tblLayout w:type="fixed"/>
        <w:tblCellMar>
          <w:top w:w="28" w:type="dxa"/>
          <w:left w:w="28" w:type="dxa"/>
          <w:bottom w:w="28" w:type="dxa"/>
          <w:right w:w="28" w:type="dxa"/>
        </w:tblCellMar>
      </w:tblPr>
      <w:tblGrid>
        <w:gridCol w:w="1846"/>
        <w:gridCol w:w="109"/>
        <w:gridCol w:w="406"/>
        <w:gridCol w:w="26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Susan Altschuller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Susan Altschuller, Ph.D.,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lym-ex10_1.htm"/>
      <w:bookmarkStart w:id="22" w:name="ksclymex10_1"/>
      <w:bookmarkEnd w:id="21"/>
      <w:bookmarkEnd w:id="22"/>
      <w:r>
        <w:rPr>
          <w:rFonts w:ascii="Times New Roman" w:hAnsi="Times New Roman"/>
          <w:b/>
          <w:color w:val="000000"/>
          <w:sz w:val="20"/>
        </w:rPr>
        <w:t>Exhibit 10.1</w:t>
      </w:r>
      <w:r>
        <w:br w:type="page"/>
      </w:r>
    </w:p>
    <w:p>
      <w:pPr>
        <w:pStyle w:val="Heading1"/>
        <w:bidi w:val="0"/>
        <w:spacing w:before="79" w:after="283"/>
        <w:jc w:val="center"/>
        <w:rPr/>
      </w:pPr>
      <w:r>
        <w:rPr/>
        <w:t> </w:t>
      </w:r>
    </w:p>
    <w:p>
      <w:pPr>
        <w:pStyle w:val="Heading1"/>
        <w:bidi w:val="0"/>
        <w:spacing w:before="79" w:after="283"/>
        <w:jc w:val="center"/>
        <w:rPr>
          <w:rFonts w:ascii="Times New Roman" w:hAnsi="Times New Roman"/>
          <w:color w:val="000000"/>
          <w:sz w:val="24"/>
        </w:rPr>
      </w:pPr>
      <w:r>
        <w:rPr>
          <w:rFonts w:ascii="Times New Roman" w:hAnsi="Times New Roman"/>
          <w:color w:val="000000"/>
          <w:sz w:val="24"/>
        </w:rPr>
        <w:t>CLIMB 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NON-EMPLOYEE DIRECTOR COMPENSATION POLICY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Effective as of June 29, 2026, the non-employee directors of Climb Bio, Inc. (the “Company”) shall receive the following compensation for their service as members of the Board of Directors (the “Board”) of the Company.</w:t>
      </w:r>
    </w:p>
    <w:p>
      <w:pPr>
        <w:pStyle w:val="Heading1"/>
        <w:bidi w:val="0"/>
        <w:spacing w:before="240" w:after="283"/>
        <w:jc w:val="left"/>
        <w:rPr>
          <w:rFonts w:ascii="Times New Roman" w:hAnsi="Times New Roman"/>
          <w:color w:val="000000"/>
          <w:sz w:val="24"/>
        </w:rPr>
      </w:pPr>
      <w:r>
        <w:rPr>
          <w:rFonts w:ascii="Times New Roman" w:hAnsi="Times New Roman"/>
          <w:color w:val="000000"/>
          <w:sz w:val="24"/>
        </w:rPr>
        <w:t>Director Compensation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Company’s goal is to provide compensation for its non-employee directors in a manner that enables it to attract and retain outstanding director candidates and reflects the substantial time commitment necessary to oversee the Company’s affairs. The Company also seeks to align the interests of its directors and its stockholders, and the Company has chosen to do so by compensating its non-employee directors with a mix of cash and equity-based compensation.</w:t>
      </w:r>
    </w:p>
    <w:p>
      <w:pPr>
        <w:pStyle w:val="Heading2"/>
        <w:bidi w:val="0"/>
        <w:spacing w:before="240" w:after="283"/>
        <w:jc w:val="left"/>
        <w:rPr>
          <w:rFonts w:ascii="Times New Roman" w:hAnsi="Times New Roman"/>
          <w:i/>
          <w:color w:val="000000"/>
          <w:sz w:val="24"/>
        </w:rPr>
      </w:pPr>
      <w:r>
        <w:rPr>
          <w:rFonts w:ascii="Times New Roman" w:hAnsi="Times New Roman"/>
          <w:i/>
          <w:color w:val="000000"/>
          <w:sz w:val="24"/>
        </w:rPr>
        <w:t>Cash Compensation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cash retainers that will be paid to the Company’s non-employee directors for service on the Board, and for service on each committee of the Board on which the director is then a member, and the cash retainers that will be paid to the chairperson of the Board, if one is then appointed, and the chairperson of each committee of the Board will be as follows:</w:t>
      </w:r>
    </w:p>
    <w:p>
      <w:pPr>
        <w:pStyle w:val="TextBody"/>
        <w:bidi w:val="0"/>
        <w:spacing w:before="11"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62"/>
        <w:gridCol w:w="2769"/>
        <w:gridCol w:w="3074"/>
      </w:tblGrid>
      <w:tr>
        <w:trPr/>
        <w:tc>
          <w:tcPr>
            <w:tcW w:w="4362"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r>
      <w:tr>
        <w:trPr/>
        <w:tc>
          <w:tcPr>
            <w:tcW w:w="436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696"/>
              <w:jc w:val="left"/>
              <w:rPr/>
            </w:pPr>
            <w:r>
              <w:rPr/>
              <w:t> </w:t>
            </w:r>
          </w:p>
        </w:tc>
        <w:tc>
          <w:tcPr>
            <w:tcW w:w="2769" w:type="dxa"/>
            <w:tcBorders>
              <w:top w:val="single" w:sz="4" w:space="0" w:color="000000"/>
              <w:bottom w:val="single" w:sz="4" w:space="0" w:color="000000"/>
              <w:right w:val="single" w:sz="4" w:space="0" w:color="000000"/>
            </w:tcBorders>
            <w:tcMar>
              <w:left w:w="0" w:type="dxa"/>
            </w:tcMar>
            <w:vAlign w:val="center"/>
          </w:tcPr>
          <w:p>
            <w:pPr>
              <w:pStyle w:val="TableContents"/>
              <w:bidi w:val="0"/>
              <w:ind w:left="0" w:right="0" w:firstLine="696"/>
              <w:jc w:val="center"/>
              <w:rPr>
                <w:rFonts w:ascii="Times New Roman" w:hAnsi="Times New Roman"/>
                <w:sz w:val="24"/>
              </w:rPr>
            </w:pPr>
            <w:r>
              <w:rPr>
                <w:rFonts w:ascii="Times New Roman" w:hAnsi="Times New Roman"/>
                <w:b/>
                <w:color w:val="000000"/>
                <w:sz w:val="24"/>
              </w:rPr>
              <w:t>Member</w:t>
            </w:r>
            <w:r>
              <w:rPr>
                <w:rFonts w:ascii="Times New Roman" w:hAnsi="Times New Roman"/>
                <w:color w:val="000000"/>
                <w:sz w:val="24"/>
              </w:rPr>
              <w:t xml:space="preserve"> </w:t>
            </w:r>
          </w:p>
          <w:p>
            <w:pPr>
              <w:pStyle w:val="TableContents"/>
              <w:bidi w:val="0"/>
              <w:spacing w:before="0" w:after="283"/>
              <w:ind w:left="0" w:right="0" w:firstLine="1099"/>
              <w:jc w:val="center"/>
              <w:rPr>
                <w:rFonts w:ascii="Times New Roman" w:hAnsi="Times New Roman"/>
                <w:b/>
                <w:color w:val="000000"/>
                <w:sz w:val="24"/>
              </w:rPr>
            </w:pPr>
            <w:r>
              <w:rPr>
                <w:rFonts w:ascii="Times New Roman" w:hAnsi="Times New Roman"/>
                <w:b/>
                <w:color w:val="000000"/>
                <w:sz w:val="24"/>
              </w:rPr>
              <w:t>Annual Retainer</w:t>
            </w:r>
          </w:p>
        </w:tc>
        <w:tc>
          <w:tcPr>
            <w:tcW w:w="3074" w:type="dxa"/>
            <w:tcBorders>
              <w:top w:val="single" w:sz="4" w:space="0" w:color="000000"/>
              <w:bottom w:val="single" w:sz="4" w:space="0" w:color="000000"/>
              <w:right w:val="single" w:sz="4" w:space="0" w:color="000000"/>
            </w:tcBorders>
            <w:tcMar>
              <w:left w:w="0" w:type="dxa"/>
            </w:tcMar>
            <w:vAlign w:val="center"/>
          </w:tcPr>
          <w:p>
            <w:pPr>
              <w:pStyle w:val="TableContents"/>
              <w:bidi w:val="0"/>
              <w:ind w:left="0" w:right="0" w:firstLine="1099"/>
              <w:jc w:val="center"/>
              <w:rPr>
                <w:rFonts w:ascii="Times New Roman" w:hAnsi="Times New Roman"/>
                <w:sz w:val="24"/>
              </w:rPr>
            </w:pPr>
            <w:r>
              <w:rPr>
                <w:rFonts w:ascii="Times New Roman" w:hAnsi="Times New Roman"/>
                <w:b/>
                <w:color w:val="000000"/>
                <w:sz w:val="24"/>
              </w:rPr>
              <w:t>Chair Incremental</w:t>
            </w:r>
            <w:r>
              <w:rPr>
                <w:rFonts w:ascii="Times New Roman" w:hAnsi="Times New Roman"/>
                <w:color w:val="000000"/>
                <w:sz w:val="24"/>
              </w:rPr>
              <w:t xml:space="preserve"> </w:t>
            </w:r>
          </w:p>
          <w:p>
            <w:pPr>
              <w:pStyle w:val="TableContents"/>
              <w:bidi w:val="0"/>
              <w:spacing w:before="0" w:after="283"/>
              <w:ind w:left="0" w:right="0" w:firstLine="107"/>
              <w:jc w:val="center"/>
              <w:rPr>
                <w:rFonts w:ascii="Times New Roman" w:hAnsi="Times New Roman"/>
                <w:b/>
                <w:color w:val="000000"/>
                <w:sz w:val="24"/>
              </w:rPr>
            </w:pPr>
            <w:r>
              <w:rPr>
                <w:rFonts w:ascii="Times New Roman" w:hAnsi="Times New Roman"/>
                <w:b/>
                <w:color w:val="000000"/>
                <w:sz w:val="24"/>
              </w:rPr>
              <w:t>Annual Retainer</w:t>
            </w:r>
          </w:p>
        </w:tc>
      </w:tr>
      <w:tr>
        <w:trPr/>
        <w:tc>
          <w:tcPr>
            <w:tcW w:w="436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9"/>
              <w:jc w:val="left"/>
              <w:rPr>
                <w:rFonts w:ascii="Times New Roman" w:hAnsi="Times New Roman"/>
                <w:color w:val="000000"/>
                <w:sz w:val="24"/>
              </w:rPr>
            </w:pPr>
            <w:r>
              <w:rPr>
                <w:rFonts w:ascii="Times New Roman" w:hAnsi="Times New Roman"/>
                <w:color w:val="000000"/>
                <w:sz w:val="24"/>
              </w:rPr>
              <w:t>Board of Directors</w:t>
            </w:r>
          </w:p>
        </w:tc>
        <w:tc>
          <w:tcPr>
            <w:tcW w:w="27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
              <w:jc w:val="left"/>
              <w:rPr>
                <w:rFonts w:ascii="Times New Roman" w:hAnsi="Times New Roman"/>
                <w:color w:val="000000"/>
                <w:sz w:val="24"/>
              </w:rPr>
            </w:pPr>
            <w:r>
              <w:rPr>
                <w:rFonts w:ascii="Times New Roman" w:hAnsi="Times New Roman"/>
                <w:color w:val="000000"/>
                <w:sz w:val="24"/>
              </w:rPr>
              <w:t>$40,000</w:t>
            </w:r>
          </w:p>
        </w:tc>
        <w:tc>
          <w:tcPr>
            <w:tcW w:w="307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$30,000</w:t>
            </w:r>
          </w:p>
        </w:tc>
      </w:tr>
      <w:tr>
        <w:trPr/>
        <w:tc>
          <w:tcPr>
            <w:tcW w:w="436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9"/>
              <w:jc w:val="left"/>
              <w:rPr>
                <w:rFonts w:ascii="Times New Roman" w:hAnsi="Times New Roman"/>
                <w:color w:val="000000"/>
                <w:sz w:val="24"/>
              </w:rPr>
            </w:pPr>
            <w:r>
              <w:rPr>
                <w:rFonts w:ascii="Times New Roman" w:hAnsi="Times New Roman"/>
                <w:color w:val="000000"/>
                <w:sz w:val="24"/>
              </w:rPr>
              <w:t>Audit Committee</w:t>
            </w:r>
          </w:p>
        </w:tc>
        <w:tc>
          <w:tcPr>
            <w:tcW w:w="27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
              <w:jc w:val="left"/>
              <w:rPr>
                <w:rFonts w:ascii="Times New Roman" w:hAnsi="Times New Roman"/>
                <w:color w:val="000000"/>
                <w:sz w:val="24"/>
              </w:rPr>
            </w:pPr>
            <w:r>
              <w:rPr>
                <w:rFonts w:ascii="Times New Roman" w:hAnsi="Times New Roman"/>
                <w:color w:val="000000"/>
                <w:sz w:val="24"/>
              </w:rPr>
              <w:t>$7,500</w:t>
            </w:r>
          </w:p>
        </w:tc>
        <w:tc>
          <w:tcPr>
            <w:tcW w:w="307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$7,500</w:t>
            </w:r>
          </w:p>
        </w:tc>
      </w:tr>
      <w:tr>
        <w:trPr/>
        <w:tc>
          <w:tcPr>
            <w:tcW w:w="436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9"/>
              <w:jc w:val="left"/>
              <w:rPr>
                <w:rFonts w:ascii="Times New Roman" w:hAnsi="Times New Roman"/>
                <w:color w:val="000000"/>
                <w:sz w:val="24"/>
              </w:rPr>
            </w:pPr>
            <w:r>
              <w:rPr>
                <w:rFonts w:ascii="Times New Roman" w:hAnsi="Times New Roman"/>
                <w:color w:val="000000"/>
                <w:sz w:val="24"/>
              </w:rPr>
              <w:t>Compensation Committee</w:t>
            </w:r>
          </w:p>
        </w:tc>
        <w:tc>
          <w:tcPr>
            <w:tcW w:w="27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
              <w:jc w:val="left"/>
              <w:rPr>
                <w:rFonts w:ascii="Times New Roman" w:hAnsi="Times New Roman"/>
                <w:color w:val="000000"/>
                <w:sz w:val="24"/>
              </w:rPr>
            </w:pPr>
            <w:r>
              <w:rPr>
                <w:rFonts w:ascii="Times New Roman" w:hAnsi="Times New Roman"/>
                <w:color w:val="000000"/>
                <w:sz w:val="24"/>
              </w:rPr>
              <w:t>$5,000</w:t>
            </w:r>
          </w:p>
        </w:tc>
        <w:tc>
          <w:tcPr>
            <w:tcW w:w="307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$5,000</w:t>
            </w:r>
          </w:p>
        </w:tc>
      </w:tr>
      <w:tr>
        <w:trPr/>
        <w:tc>
          <w:tcPr>
            <w:tcW w:w="436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9"/>
              <w:jc w:val="left"/>
              <w:rPr>
                <w:rFonts w:ascii="Times New Roman" w:hAnsi="Times New Roman"/>
                <w:color w:val="000000"/>
                <w:sz w:val="24"/>
              </w:rPr>
            </w:pPr>
            <w:r>
              <w:rPr>
                <w:rFonts w:ascii="Times New Roman" w:hAnsi="Times New Roman"/>
                <w:color w:val="000000"/>
                <w:sz w:val="24"/>
              </w:rPr>
              <w:t>Nominating and Corporate Governance Committee</w:t>
            </w:r>
          </w:p>
        </w:tc>
        <w:tc>
          <w:tcPr>
            <w:tcW w:w="2769" w:type="dxa"/>
            <w:tcBorders>
              <w:bottom w:val="single" w:sz="4" w:space="0" w:color="000000"/>
              <w:right w:val="single" w:sz="4" w:space="0" w:color="000000"/>
            </w:tcBorders>
            <w:tcMar>
              <w:top w:w="0" w:type="dxa"/>
              <w:left w:w="0" w:type="dxa"/>
            </w:tcMar>
            <w:vAlign w:val="center"/>
          </w:tcPr>
          <w:p>
            <w:pPr>
              <w:pStyle w:val="TableContents"/>
              <w:bidi w:val="0"/>
              <w:spacing w:before="1" w:after="283"/>
              <w:ind w:left="0" w:right="0" w:firstLine="2"/>
              <w:jc w:val="left"/>
              <w:rPr>
                <w:rFonts w:ascii="Times New Roman" w:hAnsi="Times New Roman"/>
                <w:color w:val="000000"/>
                <w:sz w:val="24"/>
              </w:rPr>
            </w:pPr>
            <w:r>
              <w:rPr>
                <w:rFonts w:ascii="Times New Roman" w:hAnsi="Times New Roman"/>
                <w:color w:val="000000"/>
                <w:sz w:val="24"/>
              </w:rPr>
              <w:t>$5,000</w:t>
            </w:r>
          </w:p>
        </w:tc>
        <w:tc>
          <w:tcPr>
            <w:tcW w:w="3074" w:type="dxa"/>
            <w:tcBorders>
              <w:bottom w:val="single" w:sz="4" w:space="0" w:color="000000"/>
              <w:right w:val="single" w:sz="4" w:space="0" w:color="000000"/>
            </w:tcBorders>
            <w:tcMar>
              <w:top w:w="0" w:type="dxa"/>
              <w:left w:w="0" w:type="dxa"/>
            </w:tcMar>
            <w:vAlign w:val="center"/>
          </w:tcPr>
          <w:p>
            <w:pPr>
              <w:pStyle w:val="TableContents"/>
              <w:bidi w:val="0"/>
              <w:spacing w:before="1" w:after="283"/>
              <w:ind w:left="0" w:right="0" w:firstLine="2"/>
              <w:jc w:val="left"/>
              <w:rPr>
                <w:rFonts w:ascii="Times New Roman" w:hAnsi="Times New Roman"/>
                <w:color w:val="000000"/>
                <w:sz w:val="24"/>
              </w:rPr>
            </w:pPr>
            <w:r>
              <w:rPr>
                <w:rFonts w:ascii="Times New Roman" w:hAnsi="Times New Roman"/>
                <w:color w:val="000000"/>
                <w:sz w:val="24"/>
              </w:rPr>
              <w:t>$5,000</w:t>
            </w:r>
          </w:p>
        </w:tc>
      </w:tr>
    </w:tbl>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foregoing retainers are payable in arrears in four equal quarterly installments on the last day of each fiscal quarter, provided that the amount of such payment is prorated for any portion of such quarter (based on the number of days served in the applicable fiscal quarter) that the director is not serving on the Board, on such committee or in such position.</w:t>
      </w:r>
    </w:p>
    <w:p>
      <w:pPr>
        <w:pStyle w:val="Heading2"/>
        <w:bidi w:val="0"/>
        <w:spacing w:before="240" w:after="283"/>
        <w:jc w:val="left"/>
        <w:rPr>
          <w:rFonts w:ascii="Times New Roman" w:hAnsi="Times New Roman"/>
          <w:i/>
          <w:color w:val="000000"/>
          <w:sz w:val="24"/>
        </w:rPr>
      </w:pPr>
      <w:r>
        <w:rPr>
          <w:rFonts w:ascii="Times New Roman" w:hAnsi="Times New Roman"/>
          <w:i/>
          <w:color w:val="000000"/>
          <w:sz w:val="24"/>
        </w:rPr>
        <w:t>Equity Compensation</w:t>
      </w:r>
    </w:p>
    <w:p>
      <w:pPr>
        <w:pStyle w:val="TextBody"/>
        <w:bidi w:val="0"/>
        <w:spacing w:before="79" w:after="283"/>
        <w:jc w:val="left"/>
        <w:rPr>
          <w:rFonts w:ascii="Times New Roman" w:hAnsi="Times New Roman"/>
          <w:sz w:val="20"/>
        </w:rPr>
      </w:pPr>
      <w:r>
        <w:rPr>
          <w:rFonts w:ascii="Times New Roman" w:hAnsi="Times New Roman"/>
          <w:color w:val="000000"/>
          <w:sz w:val="24"/>
          <w:u w:val="single"/>
        </w:rPr>
        <w:t>Initial Grants</w:t>
      </w:r>
      <w:r>
        <w:rPr>
          <w:rFonts w:ascii="Times New Roman" w:hAnsi="Times New Roman"/>
          <w:color w:val="000000"/>
          <w:sz w:val="24"/>
        </w:rPr>
        <w:t>. Upon initial election or appointment to the Board, each non-employee director will be granted, automatically and without the need for any further action by the Board, an initial equity award of an option to purchase 80,000 shares of the Company’s common stock; provided, that, if such award would have an aggregate grant-date fair value in excess of $700,000, then such award shall be for a number of shares of the Company’s common stock having an aggregate grant-date fair value equal to $700,000 (in each case, as determined in accordance with Statement of Financial Accounting Standards Board Accounting Standards Codification Topic 718 (or any successor thereto) (“ASC Topic 718”)), rounded down to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nearest whole share. The initial award shall have a term of ten years from the date of the award and shall vest and become exercisable as to 2.7778% of the shares underlying such award at the end of each successive one-month period following the grant date until the third anniversary of the grant date, subject to the director’s continued service to the Company through the applicable vesting date. The vesting shall accelerate as to 100% of the shares upon a Change in Control (as defined in the Company’s 2021 Equity Incentive Plan), subject to the director’s continued service to the Company through such Change in Control. The exercise price shall be the closing price of the Company’s common stock as reported on Nasdaq on the date of grant.</w:t>
      </w:r>
    </w:p>
    <w:p>
      <w:pPr>
        <w:pStyle w:val="TextBody"/>
        <w:bidi w:val="0"/>
        <w:spacing w:before="240" w:after="283"/>
        <w:jc w:val="left"/>
        <w:rPr>
          <w:rFonts w:ascii="Times New Roman" w:hAnsi="Times New Roman"/>
          <w:sz w:val="20"/>
        </w:rPr>
      </w:pPr>
      <w:r>
        <w:rPr>
          <w:rFonts w:ascii="Times New Roman" w:hAnsi="Times New Roman"/>
          <w:color w:val="000000"/>
          <w:sz w:val="24"/>
          <w:u w:val="single"/>
        </w:rPr>
        <w:t>Annual Grants</w:t>
      </w:r>
      <w:r>
        <w:rPr>
          <w:rFonts w:ascii="Times New Roman" w:hAnsi="Times New Roman"/>
          <w:color w:val="000000"/>
          <w:sz w:val="24"/>
        </w:rPr>
        <w:t>. Each non-employee director will be granted, automatically and without the need for any further action by the Board, an equity award on the date of the annual meeting of stockholders an option to purchase 40,000 shares of the Company’s common stock; provided, that, if such award would have an aggregate grant-date fair value in excess of $350,000, then such award shall be for a number of shares of the Company’s common stock having an aggregate grant-date fair value equal to $350,000 (in each case, as determined in accordance with ASC Topic 718), rounded down to the nearest whole share. The annual award shall have a term of ten years from the date of the award and shall vest and become exercisable in full on the one-year anniversary of the grant date (or, if earlier, the date immediately prior to the date of the first annual meeting of stockholders occurring after the grant date), subject to the director’s continued service to the Company through such applicable vesting date. The vesting shall accelerate as to 100% of the shares upon a Change in Control, subject to the director’s continued service to the Company through such Change in Control. The exercise price shall be the closing price of the Company’s common stock as reported on Nasdaq on the date of grant.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foregoing share amounts shall be automatically adjusted in the event of any change that is made in, or other events that occur with respect to, the Company’s common stock subject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ASC Topic 718, but not upon the conversion of any convertible securities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initial awards and the annual awards shall be subject to the terms and conditions of the Company’s 2021 Equity Incentive Plan, as it may be amended and/or restated from time to time, or any successor plan, and the terms of the option agreements entered into with each director in connection with such awards.</w:t>
      </w:r>
    </w:p>
    <w:p>
      <w:pPr>
        <w:pStyle w:val="Heading2"/>
        <w:bidi w:val="0"/>
        <w:spacing w:before="240" w:after="283"/>
        <w:jc w:val="left"/>
        <w:rPr>
          <w:rFonts w:ascii="Times New Roman" w:hAnsi="Times New Roman"/>
          <w:i/>
          <w:color w:val="000000"/>
          <w:sz w:val="24"/>
        </w:rPr>
      </w:pPr>
      <w:r>
        <w:rPr>
          <w:rFonts w:ascii="Times New Roman" w:hAnsi="Times New Roman"/>
          <w:i/>
          <w:color w:val="000000"/>
          <w:sz w:val="24"/>
        </w:rPr>
        <w:t>Expenses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Upon presentation of documentation of such expenses reasonably satisfactory to the Company, each non-employee director shall be reimbursed for their reasonable out-of-pocket business expenses incurred in connection with attending meetings of the Board and committees thereof or in connection with other business related to the Board, and each non-employee director shall also be reimbursed for their reasonable out-of-pocket business expenses authorized by the Board or a committee of the Board that are incurred in connection with attendance at various conferences or meetings with management of the Company, in accordance with the Company’s travel policy, as it may be in effect from time to time.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clym-ex31_1.htm"/>
      <w:bookmarkStart w:id="24" w:name="ksclym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Aoife Brennan,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Climb 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846"/>
        <w:gridCol w:w="109"/>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Aoife Brennan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Aoife Brennan, M.B., Ch.B.</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lym-ex31_2.htm"/>
      <w:bookmarkStart w:id="26" w:name="ksclym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Susan Altschuller,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Climb 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02" w:type="dxa"/>
        <w:jc w:val="left"/>
        <w:tblInd w:w="0" w:type="dxa"/>
        <w:tblLayout w:type="fixed"/>
        <w:tblCellMar>
          <w:top w:w="28" w:type="dxa"/>
          <w:left w:w="28" w:type="dxa"/>
          <w:bottom w:w="28" w:type="dxa"/>
          <w:right w:w="28" w:type="dxa"/>
        </w:tblCellMar>
      </w:tblPr>
      <w:tblGrid>
        <w:gridCol w:w="1846"/>
        <w:gridCol w:w="109"/>
        <w:gridCol w:w="406"/>
        <w:gridCol w:w="26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Susan Altschuller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Susan Altschuller, Ph.D.,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lym-ex32_1.htm"/>
      <w:bookmarkStart w:id="28" w:name="ksclym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Climb Bio,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846"/>
        <w:gridCol w:w="109"/>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Aoife Brennan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Aoife Brennan, M.B., Ch.B.</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Climb Bio,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clym-ex32_2.htm"/>
      <w:bookmarkStart w:id="30" w:name="ksclymex32_2"/>
      <w:bookmarkEnd w:id="29"/>
      <w:bookmarkEnd w:id="30"/>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Climb Bio,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02" w:type="dxa"/>
        <w:jc w:val="left"/>
        <w:tblInd w:w="0" w:type="dxa"/>
        <w:tblLayout w:type="fixed"/>
        <w:tblCellMar>
          <w:top w:w="28" w:type="dxa"/>
          <w:left w:w="28" w:type="dxa"/>
          <w:bottom w:w="28" w:type="dxa"/>
          <w:right w:w="28" w:type="dxa"/>
        </w:tblCellMar>
      </w:tblPr>
      <w:tblGrid>
        <w:gridCol w:w="1846"/>
        <w:gridCol w:w="109"/>
        <w:gridCol w:w="406"/>
        <w:gridCol w:w="26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Susan Altschuller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Susan Altschuller, Ph.D.,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Climb Bio,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8446/000119312524092520/d737147dex21.htm" TargetMode="External"/><Relationship Id="rId4" Type="http://schemas.openxmlformats.org/officeDocument/2006/relationships/hyperlink" Target="https://www.sec.gov/Archives/edgar/data/1768446/000119312524092520/d737147dex21.htm" TargetMode="External"/><Relationship Id="rId5" Type="http://schemas.openxmlformats.org/officeDocument/2006/relationships/hyperlink" Target="https://www.sec.gov/Archives/edgar/data/1768446/000119312524092520/d737147dex21.htm" TargetMode="External"/><Relationship Id="rId6" Type="http://schemas.openxmlformats.org/officeDocument/2006/relationships/hyperlink" Target="https://www.sec.gov/Archives/edgar/data/1768446/000119312524092520/d737147dex21.htm" TargetMode="External"/><Relationship Id="rId7" Type="http://schemas.openxmlformats.org/officeDocument/2006/relationships/hyperlink" Target="https://www.sec.gov/Archives/edgar/data/1768446/000095017024125294/clym-ex31_1.htm" TargetMode="External"/><Relationship Id="rId8" Type="http://schemas.openxmlformats.org/officeDocument/2006/relationships/hyperlink" Target="https://www.sec.gov/Archives/edgar/data/1768446/000119312524231167/d888487dex32.htm" TargetMode="External"/><Relationship Id="rId9" Type="http://schemas.openxmlformats.org/officeDocument/2006/relationships/hyperlink" Target="https://www.sec.gov/Archives/edgar/data/1768446/000119312526183711/d153155dex101.htm" TargetMode="External"/><Relationship Id="rId10" Type="http://schemas.openxmlformats.org/officeDocument/2006/relationships/hyperlink" Target="https://www.sec.gov/Archives/edgar/data/1768446/000119312526183711/d153155dex102.htm" TargetMode="External"/><Relationship Id="rId11" Type="http://schemas.openxmlformats.org/officeDocument/2006/relationships/hyperlink" Target="https://www.sec.gov/Archives/edgar/data/1768446/000119312526261716/d72849dex99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62945</Words>
  <Characters>354716</Characters>
  <CharactersWithSpaces>417881</CharactersWithSpaces>
  <Paragraphs>5555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