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589d8k.htm"/>
      <w:bookmarkStart w:id="1" w:name="ksd9258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June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CLIMB 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83-2273741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 William Street, Suite 145</w:t>
            </w:r>
          </w:p>
          <w:p>
            <w:pPr>
              <w:pStyle w:val="TableContents"/>
              <w:bidi w:val="0"/>
              <w:spacing w:before="0" w:after="20"/>
              <w:jc w:val="center"/>
              <w:rPr>
                <w:rFonts w:ascii="Times New Roman" w:hAnsi="Times New Roman"/>
                <w:b/>
                <w:sz w:val="20"/>
              </w:rPr>
            </w:pPr>
            <w:r>
              <w:rPr>
                <w:rFonts w:ascii="Times New Roman" w:hAnsi="Times New Roman"/>
                <w:b/>
                <w:sz w:val="20"/>
              </w:rPr>
              <w:t>Wellesley Hills,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02481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(866) 857-2596</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80" w:type="dxa"/>
        <w:jc w:val="left"/>
        <w:tblInd w:w="0" w:type="dxa"/>
        <w:tblLayout w:type="fixed"/>
        <w:tblCellMar>
          <w:top w:w="0" w:type="dxa"/>
          <w:left w:w="0" w:type="dxa"/>
          <w:bottom w:w="0" w:type="dxa"/>
          <w:right w:w="0" w:type="dxa"/>
        </w:tblCellMar>
      </w:tblPr>
      <w:tblGrid>
        <w:gridCol w:w="4265"/>
        <w:gridCol w:w="60"/>
        <w:gridCol w:w="740"/>
        <w:gridCol w:w="60"/>
        <w:gridCol w:w="255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CLYM</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12, 2026, Climb Bio, Inc., a Delaware corporation (the “Company”), entered into an Open Market Sale Agreement℠ (the “Sales Agreement”) with Jefferies LLC, as agent (“Jefferies”), pursuant to which the Company may offer and sell shares of its common stock, $0.0001 par value per share (the “Common Stock”), from time to time through Jefferies. The Company has also filed a prospectus supplement (the “Prospectus Supplement”) relating to the Sales Agreement with the Securities and Exchange Commission (the “SEC”) under the Company’s existing shelf Registration Statement on Form S-3 (File No. 333-283166), which was declared effective on November 22, 2024 (the “Registration Statement”). Pursuant to the Prospectus Supplement, the Company may offer and sell shares of Common Stock having an aggregate offering price of up to $100.0 million under the Sales Agreement (the “Shares”). </w:t>
      </w:r>
    </w:p>
    <w:p>
      <w:pPr>
        <w:pStyle w:val="TextBody"/>
        <w:bidi w:val="0"/>
        <w:spacing w:before="240" w:after="0"/>
        <w:jc w:val="left"/>
        <w:rPr>
          <w:rFonts w:ascii="Times New Roman" w:hAnsi="Times New Roman"/>
          <w:sz w:val="20"/>
        </w:rPr>
      </w:pPr>
      <w:r>
        <w:rPr>
          <w:rFonts w:ascii="Times New Roman" w:hAnsi="Times New Roman"/>
          <w:sz w:val="20"/>
        </w:rPr>
        <w:t xml:space="preserve">Sales of the Shares, if any, under the Prospectus Supplement may be made in sales deemed to be an “at the market offering” as defined in Rule 415(a)(4) promulgated under the Securities Act of 1933, as amended (the “Securities Act”), including sales made in ordinary brokers’ transactions on the Nasdaq Global Market or otherwise at market prices prevailing at the time of sale. Jefferies is not required to sell any specific number or dollar amount of securities but will act as sales agent using commercially reasonable efforts consistent with its normal trading and sales practices on mutually agreed terms between Jefferies and the Company.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to Jefferies for sales of the Shares sold pursuant to the Sales Agreement will be an amount of up to 3.0% of the gross sales price per Share sold under the Sales Agreement. The proceeds the Company receives from sales of the Shares, if any, will depend on the number of Shares actually sold and the offering price of such Shares. The Sales Agreement contains customary representations, warranties, covenants and agreements, indemnification obligations of the Company and Jefferies, including for liabilities under the Securities Act or the Securities Exchange Act of 1934, as amended (the “Exchange Act”), and termination provisions. The representations, warranties and covenants contained in the Sales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Sales Agreement is filed as Exhibit 1.1 hereto and is incorporated herein by reference. The foregoing description of the material terms of the Sales Agreement does not purport to be complete and is qualified in its entirety by reference to such exhibit. </w:t>
      </w:r>
    </w:p>
    <w:p>
      <w:pPr>
        <w:pStyle w:val="TextBody"/>
        <w:bidi w:val="0"/>
        <w:spacing w:before="240" w:after="0"/>
        <w:jc w:val="left"/>
        <w:rPr>
          <w:rFonts w:ascii="Times New Roman" w:hAnsi="Times New Roman"/>
          <w:sz w:val="20"/>
        </w:rPr>
      </w:pPr>
      <w:r>
        <w:rPr>
          <w:rFonts w:ascii="Times New Roman" w:hAnsi="Times New Roman"/>
          <w:sz w:val="20"/>
        </w:rPr>
        <w:t xml:space="preserve">Wilmer Cutler Pickering Hale and Dorr LLP, counsel to the Company, has issued a legal opinion relating to the Shares. A copy of such legal opinion, including the consent included therein, is filed as Exhibit 5.1 hereto. </w:t>
      </w:r>
    </w:p>
    <w:p>
      <w:pPr>
        <w:pStyle w:val="TextBody"/>
        <w:bidi w:val="0"/>
        <w:spacing w:before="240" w:after="0"/>
        <w:jc w:val="left"/>
        <w:rPr>
          <w:rFonts w:ascii="Times New Roman" w:hAnsi="Times New Roman"/>
          <w:sz w:val="20"/>
        </w:rPr>
      </w:pPr>
      <w:r>
        <w:rPr>
          <w:rFonts w:ascii="Times New Roman" w:hAnsi="Times New Roman"/>
          <w:sz w:val="20"/>
        </w:rPr>
        <w:t xml:space="preserve">The Shares will be sold pursuant to the Registration Statement, and offerings of the Shares will be made only by means of the Prospectus Supplement. This Current Report on Form 8-K shall not constitute an offer to sell or solicitation of an offer to buy the Shares, nor shall there be any sale of the Shares in any state in which such offer, solicitation or sale would be unlawful prior to registration or qualification under the securities law of such state or jurisdiction.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25, 2025, the Company entered into an Equity Distribution Agreement (the “Distribution Agreement”) with Oppenheimer &amp; Co. Inc., as agent (“Oppenheimer”), pursuant to which the Company could offer and sell shares of Common Stock from time to time through Oppenheimer (the “Oppenheimer ATM Offering”). The Company filed a prospectus supplement with the SEC on March 25, 2025, in connection with the Oppenheimer ATM Offering (the “Oppenheimer Prospectus Supplement”), under the Registration Statement. Pursuant to the Oppenheimer Prospectus Supplement, the Company could offer and sell shares of Common Stock having an aggregate offering price of up to $22.35 million under the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terminated the Distribution Agreement effective as of June 11, 2026. The Company did not incur any termination penalties as a result of the termination of the Distribution Agreement. As of the effective date of the termination of the Distribution Agreement, the Company had sold no shares of Common Stock pursuant to the Distribution Agreement. The $22.35 million of shares of Common Stock that had been available for sale pursuant to the Oppenheimer Prospectus Supplement remained unsold at the time of its termination. The termination of the Distribution Agreement terminated any future sales of Common Stock through the Oppenheimer ATM Offering pursuant to the Oppenheimer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Distribution Agreement was filed as Exhibit 1.1 to the Company’s Current Report on Form 8-K filed with the SEC on March 25, 2025.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92589dex11.htm">
              <w:r>
                <w:rPr>
                  <w:rStyle w:val="InternetLink"/>
                </w:rPr>
                <w:t xml:space="preserve">Open Market Sale AgreementSM, dated June 12, 2026, by and between Climb Bio, Inc. and Jefferies LLC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92589dex51.htm">
              <w:r>
                <w:rPr>
                  <w:rStyle w:val="InternetLink"/>
                </w:rPr>
                <w:t xml:space="preserve">Opinion of Wilmer Cutler Pickering Hale and Dorr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92589dex51.htm">
              <w:r>
                <w:rPr>
                  <w:rStyle w:val="InternetLink"/>
                </w:rPr>
                <w:t xml:space="preserve">Consent of Wilmer Cutler Pickering Hale and Dorr LLP (contained in Exhibit 5.1 above)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420" w:type="dxa"/>
        <w:jc w:val="left"/>
        <w:tblInd w:w="0" w:type="dxa"/>
        <w:tblLayout w:type="fixed"/>
        <w:tblCellMar>
          <w:top w:w="0" w:type="dxa"/>
          <w:left w:w="0" w:type="dxa"/>
          <w:bottom w:w="0" w:type="dxa"/>
          <w:right w:w="0" w:type="dxa"/>
        </w:tblCellMar>
      </w:tblPr>
      <w:tblGrid>
        <w:gridCol w:w="1940"/>
        <w:gridCol w:w="60"/>
        <w:gridCol w:w="60"/>
        <w:gridCol w:w="60"/>
        <w:gridCol w:w="365"/>
        <w:gridCol w:w="60"/>
        <w:gridCol w:w="387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Climb Bio,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93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12,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Aoife Brennan</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center"/>
              <w:rPr>
                <w:b/>
              </w:rPr>
            </w:pPr>
            <w:r>
              <w:rPr>
                <w:b/>
              </w:rPr>
              <w:t>Aoife Brennan, M.B., Ch.B.</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center"/>
              <w:rPr>
                <w:b/>
              </w:rPr>
            </w:pPr>
            <w:r>
              <w:rPr>
                <w:b/>
              </w:rPr>
              <w:t>President and Chief Executive Officer</w:t>
            </w:r>
          </w:p>
        </w:tc>
      </w:tr>
    </w:tbl>
    <w:p>
      <w:pPr>
        <w:pStyle w:val="TextBody"/>
        <w:bidi w:val="0"/>
        <w:spacing w:before="0" w:after="0"/>
        <w:jc w:val="right"/>
        <w:rPr>
          <w:rFonts w:ascii="Times New Roman" w:hAnsi="Times New Roman"/>
          <w:b/>
          <w:sz w:val="20"/>
        </w:rPr>
      </w:pPr>
      <w:bookmarkStart w:id="2" w:name="d92589dex11.htm"/>
      <w:bookmarkStart w:id="3" w:name="ksd92589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u w:val="single"/>
        </w:rPr>
        <w:t>OPEN MARKET SALE AGREEMENT</w:t>
      </w:r>
      <w:r>
        <w:rPr>
          <w:rFonts w:ascii="Times New Roman" w:hAnsi="Times New Roman"/>
          <w:b/>
          <w:sz w:val="20"/>
        </w:rPr>
        <w:t xml:space="preserve">SM </w:t>
      </w:r>
    </w:p>
    <w:p>
      <w:pPr>
        <w:pStyle w:val="TextBody"/>
        <w:bidi w:val="0"/>
        <w:spacing w:before="240" w:after="0"/>
        <w:jc w:val="right"/>
        <w:rPr>
          <w:rFonts w:ascii="Times New Roman" w:hAnsi="Times New Roman"/>
          <w:sz w:val="20"/>
        </w:rPr>
      </w:pPr>
      <w:r>
        <w:rPr>
          <w:rFonts w:ascii="Times New Roman" w:hAnsi="Times New Roman"/>
          <w:sz w:val="20"/>
        </w:rPr>
        <w:t xml:space="preserve">June 12,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Climb Bio, Inc., a Delaware corporation (the “</w:t>
      </w:r>
      <w:r>
        <w:rPr>
          <w:rFonts w:ascii="Times New Roman" w:hAnsi="Times New Roman"/>
          <w:b/>
          <w:sz w:val="20"/>
        </w:rPr>
        <w:t>Company</w:t>
      </w:r>
      <w:r>
        <w:rPr>
          <w:rFonts w:ascii="Times New Roman" w:hAnsi="Times New Roman"/>
          <w:sz w:val="20"/>
        </w:rPr>
        <w:t>”), proposes, subject to the terms and conditions stated herein, to issue and sell from time to time through Jefferies LLC, as sales agent and/or principal (the “</w:t>
      </w:r>
      <w:r>
        <w:rPr>
          <w:rFonts w:ascii="Times New Roman" w:hAnsi="Times New Roman"/>
          <w:b/>
          <w:sz w:val="20"/>
        </w:rPr>
        <w:t>Agent</w:t>
      </w:r>
      <w:r>
        <w:rPr>
          <w:rFonts w:ascii="Times New Roman" w:hAnsi="Times New Roman"/>
          <w:sz w:val="20"/>
        </w:rPr>
        <w:t>”), shares of the Company’s common stock, par value $0.0001 per share (the “</w:t>
      </w:r>
      <w:r>
        <w:rPr>
          <w:rFonts w:ascii="Times New Roman" w:hAnsi="Times New Roman"/>
          <w:b/>
          <w:sz w:val="20"/>
        </w:rPr>
        <w:t>Common Shares</w:t>
      </w:r>
      <w:r>
        <w:rPr>
          <w:rFonts w:ascii="Times New Roman" w:hAnsi="Times New Roman"/>
          <w:sz w:val="20"/>
        </w:rPr>
        <w:t>”), on the terms set forth in this agreement (this “</w:t>
      </w:r>
      <w:r>
        <w:rPr>
          <w:rFonts w:ascii="Times New Roman" w:hAnsi="Times New Roman"/>
          <w:b/>
          <w:sz w:val="20"/>
        </w:rPr>
        <w:t>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 DEFINITIONS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For purposes of this Agreement, capitalized terms used herein and not otherwise defined shall have the following respective meanings: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b/>
          <w:sz w:val="20"/>
        </w:rPr>
        <w:t>Agency Period</w:t>
      </w:r>
      <w:r>
        <w:rPr>
          <w:rFonts w:ascii="Times New Roman" w:hAnsi="Times New Roman"/>
          <w:sz w:val="20"/>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Commission thereunder. </w:t>
      </w:r>
    </w:p>
    <w:p>
      <w:pPr>
        <w:pStyle w:val="TextBody"/>
        <w:bidi w:val="0"/>
        <w:spacing w:before="240" w:after="0"/>
        <w:jc w:val="left"/>
        <w:rPr/>
      </w:pPr>
      <w:r>
        <w:rPr/>
        <w:t>“</w:t>
      </w:r>
      <w:r>
        <w:rPr>
          <w:rFonts w:ascii="Times New Roman" w:hAnsi="Times New Roman"/>
          <w:b/>
          <w:sz w:val="20"/>
        </w:rPr>
        <w:t>Floor Price Limitation</w:t>
      </w:r>
      <w:r>
        <w:rPr>
          <w:rFonts w:ascii="Times New Roman" w:hAnsi="Times New Roman"/>
          <w:sz w:val="20"/>
        </w:rPr>
        <w:t xml:space="preserve">” means the minimum price per share set by the Company in the applicable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 in no event shall be less than $1.00 per share without the prior written consent of the Agent, which may be withheld in the Agent’s sole discretion.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34"/>
        <w:gridCol w:w="9771"/>
      </w:tblGrid>
      <w:tr>
        <w:trPr/>
        <w:tc>
          <w:tcPr>
            <w:tcW w:w="434" w:type="dxa"/>
            <w:tcBorders/>
          </w:tcPr>
          <w:p>
            <w:pPr>
              <w:pStyle w:val="TableContents"/>
              <w:bidi w:val="0"/>
              <w:spacing w:before="0" w:after="283"/>
              <w:jc w:val="left"/>
              <w:rPr/>
            </w:pPr>
            <w:r>
              <w:rPr/>
              <w:t>SM </w:t>
            </w:r>
          </w:p>
        </w:tc>
        <w:tc>
          <w:tcPr>
            <w:tcW w:w="9771" w:type="dxa"/>
            <w:tcBorders/>
          </w:tcPr>
          <w:p>
            <w:pPr>
              <w:pStyle w:val="TableContents"/>
              <w:bidi w:val="0"/>
              <w:spacing w:before="0" w:after="0"/>
              <w:jc w:val="left"/>
              <w:rPr/>
            </w:pPr>
            <w:r>
              <w:rPr/>
              <w:t>“</w:t>
            </w:r>
            <w:r>
              <w:rPr>
                <w:rFonts w:ascii="Times New Roman" w:hAnsi="Times New Roman"/>
                <w:sz w:val="20"/>
              </w:rPr>
              <w:t xml:space="preserve">Open Market Sale Agreement” is a service mark of Jefferies LLC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rPr>
        <w:t>Issuance Amount</w:t>
      </w:r>
      <w:r>
        <w:rPr>
          <w:rFonts w:ascii="Times New Roman" w:hAnsi="Times New Roman"/>
          <w:sz w:val="20"/>
        </w:rPr>
        <w:t xml:space="preserve">” means the aggregate Sales Price of the Shares to be sold by the Agent pursuant to any Issuance Notice. </w:t>
      </w:r>
    </w:p>
    <w:p>
      <w:pPr>
        <w:pStyle w:val="TextBody"/>
        <w:bidi w:val="0"/>
        <w:spacing w:before="240" w:after="0"/>
        <w:jc w:val="left"/>
        <w:rPr/>
      </w:pPr>
      <w:r>
        <w:rPr/>
        <w:t>“</w:t>
      </w:r>
      <w:r>
        <w:rPr>
          <w:rFonts w:ascii="Times New Roman" w:hAnsi="Times New Roman"/>
          <w:b/>
          <w:sz w:val="20"/>
        </w:rPr>
        <w:t>Issuance Notice</w:t>
      </w:r>
      <w:r>
        <w:rPr>
          <w:rFonts w:ascii="Times New Roman" w:hAnsi="Times New Roman"/>
          <w:sz w:val="20"/>
        </w:rPr>
        <w:t xml:space="preserve">” means a written notice delivered to the Agent by the Company in accordance with this Agreement in the form attached hereto as </w:t>
      </w:r>
      <w:r>
        <w:rPr>
          <w:rFonts w:ascii="Times New Roman" w:hAnsi="Times New Roman"/>
          <w:sz w:val="20"/>
          <w:u w:val="single"/>
        </w:rPr>
        <w:t>Exhibit A</w:t>
      </w:r>
      <w:r>
        <w:rPr>
          <w:rFonts w:ascii="Times New Roman" w:hAnsi="Times New Roman"/>
          <w:sz w:val="20"/>
        </w:rPr>
        <w:t xml:space="preserve"> that is executed by its Chief Executive Officer, President or Chief Financial Officer. </w:t>
      </w:r>
    </w:p>
    <w:p>
      <w:pPr>
        <w:pStyle w:val="TextBody"/>
        <w:bidi w:val="0"/>
        <w:spacing w:before="240" w:after="0"/>
        <w:jc w:val="left"/>
        <w:rPr/>
      </w:pPr>
      <w:r>
        <w:rPr/>
        <w:t>“</w:t>
      </w:r>
      <w:r>
        <w:rPr>
          <w:rFonts w:ascii="Times New Roman" w:hAnsi="Times New Roman"/>
          <w:b/>
          <w:sz w:val="20"/>
        </w:rPr>
        <w:t>Issuance Notice Date</w:t>
      </w:r>
      <w:r>
        <w:rPr>
          <w:rFonts w:ascii="Times New Roman" w:hAnsi="Times New Roman"/>
          <w:sz w:val="20"/>
        </w:rPr>
        <w:t xml:space="preserve">” means any Trading Day during the Agency Period that an Issuance Notice is delivered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Issuance Price</w:t>
      </w:r>
      <w:r>
        <w:rPr>
          <w:rFonts w:ascii="Times New Roman" w:hAnsi="Times New Roman"/>
          <w:sz w:val="20"/>
        </w:rPr>
        <w:t xml:space="preserve">” means the Sales Price less the Selling Commission. </w:t>
      </w:r>
    </w:p>
    <w:p>
      <w:pPr>
        <w:pStyle w:val="TextBody"/>
        <w:bidi w:val="0"/>
        <w:spacing w:before="240" w:after="0"/>
        <w:jc w:val="left"/>
        <w:rPr/>
      </w:pPr>
      <w:r>
        <w:rPr/>
        <w:t>“</w:t>
      </w:r>
      <w:r>
        <w:rPr>
          <w:rFonts w:ascii="Times New Roman" w:hAnsi="Times New Roman"/>
          <w:b/>
          <w:sz w:val="20"/>
        </w:rPr>
        <w:t>Maximum Program Amount</w:t>
      </w:r>
      <w:r>
        <w:rPr>
          <w:rFonts w:ascii="Times New Roman" w:hAnsi="Times New Roman"/>
          <w:sz w:val="20"/>
        </w:rPr>
        <w:t xml:space="preserve">”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or a corporation, partnership, limited liability company, trust, incorporated or unincorporated association, joint venture, joint stock company, governmental authority or other entity of any kind. </w:t>
      </w:r>
    </w:p>
    <w:p>
      <w:pPr>
        <w:pStyle w:val="TextBody"/>
        <w:bidi w:val="0"/>
        <w:spacing w:before="240" w:after="0"/>
        <w:jc w:val="left"/>
        <w:rPr/>
      </w:pPr>
      <w:r>
        <w:rPr/>
        <w:t>“</w:t>
      </w:r>
      <w:r>
        <w:rPr>
          <w:rFonts w:ascii="Times New Roman" w:hAnsi="Times New Roman"/>
          <w:b/>
          <w:sz w:val="20"/>
        </w:rPr>
        <w:t>Principal Market</w:t>
      </w:r>
      <w:r>
        <w:rPr>
          <w:rFonts w:ascii="Times New Roman" w:hAnsi="Times New Roman"/>
          <w:sz w:val="20"/>
        </w:rPr>
        <w:t xml:space="preserve">” means the Nasdaq Global Market or such other national securities exchange on which the Common Shares, including any Shares (as defined below), are then listed. </w:t>
      </w:r>
    </w:p>
    <w:p>
      <w:pPr>
        <w:pStyle w:val="TextBody"/>
        <w:bidi w:val="0"/>
        <w:spacing w:before="240" w:after="0"/>
        <w:jc w:val="left"/>
        <w:rPr/>
      </w:pPr>
      <w:r>
        <w:rPr/>
        <w:t>“</w:t>
      </w:r>
      <w:r>
        <w:rPr>
          <w:rFonts w:ascii="Times New Roman" w:hAnsi="Times New Roman"/>
          <w:b/>
          <w:sz w:val="20"/>
        </w:rPr>
        <w:t>Rule 462(b) Registration Statement</w:t>
      </w:r>
      <w:r>
        <w:rPr>
          <w:rFonts w:ascii="Times New Roman" w:hAnsi="Times New Roman"/>
          <w:sz w:val="20"/>
        </w:rPr>
        <w:t xml:space="preserve">” means any registration statement filed by the Company pursuant to Rule 462(b) under the Securities Act in connection with the offer and sale of Shares. </w:t>
      </w:r>
    </w:p>
    <w:p>
      <w:pPr>
        <w:pStyle w:val="TextBody"/>
        <w:bidi w:val="0"/>
        <w:spacing w:before="240" w:after="0"/>
        <w:jc w:val="left"/>
        <w:rPr/>
      </w:pPr>
      <w:r>
        <w:rPr/>
        <w:t>“</w:t>
      </w:r>
      <w:r>
        <w:rPr>
          <w:rFonts w:ascii="Times New Roman" w:hAnsi="Times New Roman"/>
          <w:b/>
          <w:sz w:val="20"/>
        </w:rPr>
        <w:t>Sales Price</w:t>
      </w:r>
      <w:r>
        <w:rPr>
          <w:rFonts w:ascii="Times New Roman" w:hAnsi="Times New Roman"/>
          <w:sz w:val="20"/>
        </w:rPr>
        <w:t xml:space="preserve">” means the actual sale execution price of each Share placed by the Agent pursuant to this Agreement.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Commission thereunder. </w:t>
      </w:r>
    </w:p>
    <w:p>
      <w:pPr>
        <w:pStyle w:val="TextBody"/>
        <w:bidi w:val="0"/>
        <w:spacing w:before="240" w:after="0"/>
        <w:jc w:val="left"/>
        <w:rPr/>
      </w:pPr>
      <w:r>
        <w:rPr/>
        <w:t>“</w:t>
      </w:r>
      <w:r>
        <w:rPr>
          <w:rFonts w:ascii="Times New Roman" w:hAnsi="Times New Roman"/>
          <w:b/>
          <w:sz w:val="20"/>
        </w:rPr>
        <w:t>Selling Commission</w:t>
      </w:r>
      <w:r>
        <w:rPr>
          <w:rFonts w:ascii="Times New Roman" w:hAnsi="Times New Roman"/>
          <w:sz w:val="20"/>
        </w:rPr>
        <w:t xml:space="preserve">” means three percent (3.0%) of the gross proceeds of Shares sold pursuant to this Agreement, or as otherwise agreed between the Company and the Agent with respect to any Shares sold pursuant to this Agreement. </w:t>
      </w:r>
    </w:p>
    <w:p>
      <w:pPr>
        <w:pStyle w:val="TextBody"/>
        <w:bidi w:val="0"/>
        <w:spacing w:before="240" w:after="0"/>
        <w:jc w:val="left"/>
        <w:rPr/>
      </w:pPr>
      <w:r>
        <w:rPr/>
        <w:t>“</w:t>
      </w:r>
      <w:r>
        <w:rPr>
          <w:rFonts w:ascii="Times New Roman" w:hAnsi="Times New Roman"/>
          <w:b/>
          <w:sz w:val="20"/>
        </w:rPr>
        <w:t>Settlement Date</w:t>
      </w:r>
      <w:r>
        <w:rPr>
          <w:rFonts w:ascii="Times New Roman" w:hAnsi="Times New Roman"/>
          <w:sz w:val="20"/>
        </w:rPr>
        <w:t xml:space="preserve">” means the first business day, or such other time period as required by the Exchange Act, following each Trading Day during the period set forth in the applicable Issuance Notice on which Shares are sold pursuant to this Agreement, when the Company shall deliver to the Agent the amount of Shares sold on such Trading Day and the Agent shall deliver to the Company the Issuance Price received on such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Shares</w:t>
      </w:r>
      <w:r>
        <w:rPr>
          <w:rFonts w:ascii="Times New Roman" w:hAnsi="Times New Roman"/>
          <w:sz w:val="20"/>
        </w:rPr>
        <w:t xml:space="preserve">” means the Common Shares issued or issuable pursuant to this Agreement.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the Principal Market is open for trading.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The Company, on behalf of itself and its subsidiaries (for purposes of this Agreement, as defined in Rule 405 of the Securities Act) (the “</w:t>
      </w:r>
      <w:r>
        <w:rPr>
          <w:rFonts w:ascii="Times New Roman" w:hAnsi="Times New Roman"/>
          <w:b/>
          <w:sz w:val="20"/>
        </w:rPr>
        <w:t>Subsidiaries</w:t>
      </w:r>
      <w:r>
        <w:rPr>
          <w:rFonts w:ascii="Times New Roman" w:hAnsi="Times New Roman"/>
          <w:sz w:val="20"/>
        </w:rPr>
        <w:t>”) represents and warrants to, and agrees with, the Agent that as of (1) the date of this Agreement, (2) each Issuance Notice Date with respect to which the Company is obligated to deliver a certificate pursuant to section 4(o), (3) each Settlement Date, (4) each Triggering Event Date (as defined below) and (5) as of each Time of Sale (as defined below) (each of the times referenced above is referred to herein as a “</w:t>
      </w:r>
      <w:r>
        <w:rPr>
          <w:rFonts w:ascii="Times New Roman" w:hAnsi="Times New Roman"/>
          <w:b/>
          <w:sz w:val="20"/>
        </w:rPr>
        <w:t>Representation Date</w:t>
      </w:r>
      <w:r>
        <w:rPr>
          <w:rFonts w:ascii="Times New Roman" w:hAnsi="Times New Roman"/>
          <w:sz w:val="20"/>
        </w:rPr>
        <w:t xml:space="preserve">”), except as may be disclosed in the Prospectus (including any documents incorporated by reference therein and any amendments or supplements thereto) on or before a Representation Date, and unless such representation, warranty or agreement specifies a different time: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w:t>
      </w:r>
      <w:r>
        <w:rPr>
          <w:rFonts w:ascii="Times New Roman" w:hAnsi="Times New Roman"/>
          <w:sz w:val="20"/>
        </w:rPr>
        <w:t>. The Company has prepared and filed with the Commission a shelf registration statement on Form S-3 (File No. 333-283166)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hAnsi="Times New Roman"/>
          <w:b/>
          <w:sz w:val="20"/>
        </w:rPr>
        <w:t>Registration Statement</w:t>
      </w:r>
      <w:r>
        <w:rPr>
          <w:rFonts w:ascii="Times New Roman" w:hAnsi="Times New Roman"/>
          <w:sz w:val="20"/>
        </w:rPr>
        <w:t>,” and the base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hAnsi="Times New Roman"/>
          <w:b/>
          <w:sz w:val="20"/>
        </w:rPr>
        <w:t>Prospectus</w:t>
      </w:r>
      <w:r>
        <w:rPr>
          <w:rFonts w:ascii="Times New Roman" w:hAnsi="Times New Roman"/>
          <w:sz w:val="20"/>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hAnsi="Times New Roman"/>
          <w:b/>
          <w:sz w:val="20"/>
        </w:rPr>
        <w:t>Prospectus</w:t>
      </w:r>
      <w:r>
        <w:rPr>
          <w:rFonts w:ascii="Times New Roman" w:hAnsi="Times New Roman"/>
          <w:sz w:val="20"/>
        </w:rPr>
        <w:t>” shall refer to such revised prospectus from and after the time it is first provided to the Agent for such use. The Registration Statement at the time it originally became effective is herein called the “</w:t>
      </w:r>
      <w:r>
        <w:rPr>
          <w:rFonts w:ascii="Times New Roman" w:hAnsi="Times New Roman"/>
          <w:b/>
          <w:sz w:val="20"/>
        </w:rPr>
        <w:t>Original Registration Statement</w:t>
      </w:r>
      <w:r>
        <w:rPr>
          <w:rFonts w:ascii="Times New Roman" w:hAnsi="Times New Roman"/>
          <w:sz w:val="20"/>
        </w:rPr>
        <w:t xml:space="preserve">.”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or deliver or make available copies of any report or statement shall be deemed satisfied if the same is filed with the Commission through its Electronic Data Gathering, Analysis and Retrieval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time the Registration Statement was or will be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with the Commission the Company will meet the then-applicable requirements for use of Form S-3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Registration Requirements</w:t>
      </w:r>
      <w:r>
        <w:rPr>
          <w:rFonts w:ascii="Times New Roman" w:hAnsi="Times New Roman"/>
          <w:sz w:val="20"/>
        </w:rPr>
        <w:t xml:space="preserve">. The Original Registration Statement was declared effective by the Commission under the Securities Act. Any Rule 462(b) Registration Statement filed after the date hereof that relates to the Shares will be automatically effective following such filing and prior to the delivery of any Issuance Notice related to Shares registered thereby. The Company has complied to the Commission’s satisfaction with all requests of the Commission for additional or supplemental information with respect to the Registration Statement and any Rule 462(b) Registration Statement.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The Prospectus when filed complied in all material respects with the Securities Act and, if filed with the Commission through its EDGAR system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hAnsi="Times New Roman"/>
          <w:b/>
          <w:sz w:val="20"/>
        </w:rPr>
        <w:t>Time of Sale Information</w:t>
      </w:r>
      <w:r>
        <w:rPr>
          <w:rFonts w:ascii="Times New Roman" w:hAnsi="Times New Roman"/>
          <w:sz w:val="20"/>
        </w:rPr>
        <w:t xml:space="preserve">”) did not contain any untrue statement of a material fact or omit to state a material fact necessary to make the statements therein, in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furnished by the Agent to the Company consists of the information described in </w:t>
      </w:r>
      <w:r>
        <w:rPr>
          <w:rFonts w:ascii="Times New Roman" w:hAnsi="Times New Roman"/>
          <w:sz w:val="20"/>
          <w:u w:val="single"/>
        </w:rPr>
        <w:t>Section 6</w:t>
      </w:r>
      <w:r>
        <w:rPr>
          <w:rFonts w:ascii="Times New Roman" w:hAnsi="Times New Roman"/>
          <w:sz w:val="20"/>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 The Company has not distributed and, prior to the later to occur of each Settlement Date and completion of the Agent’s distribution of the Shares under this Agreement, will not distribute any offering material in connection with the offering and sale of the Shares other than the Registration Statement, the Prospectus or any Free Writing Prospectus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Ineligible Issuer Status</w:t>
      </w:r>
      <w:r>
        <w:rPr>
          <w:rFonts w:ascii="Times New Roman" w:hAnsi="Times New Roman"/>
          <w:sz w:val="20"/>
        </w:rPr>
        <w:t xml:space="preserve">. The Company is not an “ineligible issuer” in connection with the offering of the Shares pursuant to Rules 164, 405 and 433 under the Securities Act. The Company is not a shell company (as defined in Rule 405 under the Securities Act) and has not been a shell company for at least 12 calendar months previously.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Incorporated Documents</w:t>
      </w:r>
      <w:r>
        <w:rPr>
          <w:rFonts w:ascii="Times New Roman" w:hAnsi="Times New Roman"/>
          <w:sz w:val="20"/>
        </w:rPr>
        <w:t xml:space="preserve">.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Exchange Act Compliance</w:t>
      </w:r>
      <w:r>
        <w:rPr>
          <w:rFonts w:ascii="Times New Roman" w:hAnsi="Times New Roman"/>
          <w:sz w:val="20"/>
        </w:rPr>
        <w:t xml:space="preserve">. The Company is subject to and in compliance in all material respects with the reporting requirements of Section 13 or Section 15(d) of the Exchange Act. The Common Shares are registered pursuant to Section 12(b) of the Exchange Act and are listed on the Principal Market, and the Company has taken no action designed to, or reasonably likely to have the effect of, terminating the registration of the Common Shares under the Exchange Act or delisting the Common Stock from the Principal Market, nor has the Company received any notification that the Commission or the Principal Market is contemplating terminating such registration or listing. The Company is in compliance with the current listing standards of the Principal Market. The Company has filed a Notification of Listing of Additional Shares with the Principal Market with respect to the Shares.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Other Agreements</w:t>
      </w:r>
      <w:r>
        <w:rPr>
          <w:rFonts w:ascii="Times New Roman" w:hAnsi="Times New Roman"/>
          <w:sz w:val="20"/>
        </w:rPr>
        <w:t xml:space="preserve">. The Company is not a party to any other agreement with an agent or underwriter for any other “at the market offering”, equity line of credit or other continuous equity transaction. No person (as such term is defined in Rule 1-02 of Regulation S-X promulgated under the Securities Act) has the right to act as an underwriter or as a financial advisor to the Company in connection with the offer and sale of the Shares hereunder, whether as a result of the filing or effectiveness of the Registration Statement or the sale of the Shares as contemplated hereby or otherwise, other than the Agent. Except for the Agent, there is no broker, finder or other party that is entitled to receive from the Company or any of its Subsidiaries any brokerage or finder’s fee or other fee or commission as a result of any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Incorporation and Good Standing of the Company and its Subsidiaries</w:t>
      </w:r>
      <w:r>
        <w:rPr>
          <w:rFonts w:ascii="Times New Roman" w:hAnsi="Times New Roman"/>
          <w:sz w:val="20"/>
        </w:rPr>
        <w:t>. The Company is a corporation duly organized, validly existing and in good standing under the laws of the jurisdiction of its incorporation and has all requisite corporate power and authority to carry on its business as now conducted and to own or lease its properties. The Company is duly qualified to do business as a foreign corporation and is in good standing in each jurisdiction in which the conduct of its business or its ownership or leasing of property makes such qualification or leasing necessary unless the failure to so qualify has not had and would not reasonably be expected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hAnsi="Times New Roman"/>
          <w:b/>
          <w:sz w:val="20"/>
        </w:rPr>
        <w:t>Material Adverse Effect</w:t>
      </w:r>
      <w:r>
        <w:rPr>
          <w:rFonts w:ascii="Times New Roman" w:hAnsi="Times New Roman"/>
          <w:sz w:val="20"/>
        </w:rPr>
        <w:t xml:space="preserve">”). Except for the entities identified in Exhibit 21.1 to the Company’s most recent annual report on Form 10-K, the Company does not own or control, directly or indirectly, any corporation, association or other entity. The Company’s Subsidiaries are duly organized, validly existing and in good standing under the laws of their jurisdiction of incorporation or organization and have all requisite power and authority to carry on their business as now conducted and to own or lease their properties except where the failure to be in good standing or have such power or authority would not reasonably be expected to have a Material Adverse Effect. The Company’s Subsidiaries are duly qualified to do business as foreign corporations and are in good standing in each jurisdiction in which the conduct of their business or their ownership or leasing of property makes such qualification or leasing necessary unless the failure to so qualify has not had and would not reasonably be expected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This Agreement</w:t>
      </w:r>
      <w:r>
        <w:rPr>
          <w:rFonts w:ascii="Times New Roman" w:hAnsi="Times New Roman"/>
          <w:sz w:val="20"/>
        </w:rPr>
        <w:t xml:space="preserve">. The Company has the requisite corporate power and authority and has taken all requisite corporate action necessary for, and no further action on the part of the Company, its officers, directors and stockholders is necessary for the authorization, execution and delivery of this Agreement. This Agreement constitutes a legal, valid and binding obligation of the Company, enforceable against the Company in accordance with its terms, subject to bankruptcy, insolvency, fraudulent transfer, reorganization, moratorium and similar laws of general applicability, relating to or affecting creditors’ rights generally and to general equitable principles.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Capitalization</w:t>
      </w:r>
      <w:r>
        <w:rPr>
          <w:rFonts w:ascii="Times New Roman" w:hAnsi="Times New Roman"/>
          <w:sz w:val="20"/>
        </w:rPr>
        <w:t xml:space="preserve">. The Company has the authorized and outstanding capitalization as set forth in the Company’s annual report on Form 10-K for the most recent fiscal year or, if later, the Company’s quarterly report on Form 10-Q for the most recent fiscal quarter, as of the dates referred to therein. The Common Shares conform in all material respects to the description thereof contained in the Registration Statement and the Prospectus, including under the heading “Description of Capital Stock.” The outstanding Common Shares have been duly and validly authorized and issued and are fully paid and nonassessable; and, except as set forth in the Registration Statement and the Prospectus as of the dates referred to therein, no options, warrants or other rights to purchase, agreements or other obligations to issue, or rights to convert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obligations into or exchange any securities for, shares of capital stock of or ownership interests in the Company are outstanding. The descriptions of the Company’s equity incentive plan, stock option plans and other stock plans or arrangements described in the Prospectus and in effect as of the date hereof (collectively, the “</w:t>
      </w:r>
      <w:r>
        <w:rPr>
          <w:rFonts w:ascii="Times New Roman" w:hAnsi="Times New Roman"/>
          <w:b/>
          <w:sz w:val="20"/>
        </w:rPr>
        <w:t>Stock Plans</w:t>
      </w:r>
      <w:r>
        <w:rPr>
          <w:rFonts w:ascii="Times New Roman" w:hAnsi="Times New Roman"/>
          <w:sz w:val="20"/>
        </w:rPr>
        <w:t xml:space="preserve">”) and the options or other rights granted thereunder, set forth in the Registration Statement and the Prospectus accurately and fairly present, in all material respects, the information required to be shown with respect to such Stock Plans and the options or other rights granted thereunder.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Authorization of the Shares</w:t>
      </w:r>
      <w:r>
        <w:rPr>
          <w:rFonts w:ascii="Times New Roman" w:hAnsi="Times New Roman"/>
          <w:sz w:val="20"/>
        </w:rPr>
        <w:t xml:space="preserve">. The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Shares as contemplated hereby shall not be subject to any preemptive rights, rights of first refusal or other similar rights to subscribe for or purchase the Shares. When issued and delivered by the Company against payment therefor pursuant to this Agreement, the purchasers of the Shares issued and sold hereunder will acquire good, marketable and valid title to such Shares, free and clear of all pledges, liens, security interests, charges, claims or encumbrances. The issuance and sale of the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Common Shares under the Company’s amended and restated certificate of incorporation or amended and restated bylaws or any agreement or other instrument to which the Company is a party or otherwise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Consents and Approvals</w:t>
      </w:r>
      <w:r>
        <w:rPr>
          <w:rFonts w:ascii="Times New Roman" w:hAnsi="Times New Roman"/>
          <w:sz w:val="20"/>
        </w:rPr>
        <w:t>. 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Shares hereunder), except such as have been already obtained or made or as may be required under the Securities Act, applicable state securities or Blue Sky laws, applicable rules of Nasdaq, or the applicable rules of the Financial Industry Regulatory Authority, Inc. (“</w:t>
      </w:r>
      <w:r>
        <w:rPr>
          <w:rFonts w:ascii="Times New Roman" w:hAnsi="Times New Roman"/>
          <w:b/>
          <w:sz w:val="20"/>
        </w:rPr>
        <w:t>FINRA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Material Adverse Effect</w:t>
      </w:r>
      <w:r>
        <w:rPr>
          <w:rFonts w:ascii="Times New Roman" w:hAnsi="Times New Roman"/>
          <w:sz w:val="20"/>
        </w:rPr>
        <w:t xml:space="preserve">. Subsequent to the respective dates as of which information is given in the Registration Statement and the Prospectus and except as set forth in the Registration Statement or the Prospectus: (i) there has been no change, or any development that could reasonably be expected to result in a Material Adverse Effect; (ii) the Company and its Subsidiaries, considered as one entity, have not (A) incurred any material liability or obligation, indirect, direct or contingent, including without limitation any material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(B) entered into any material transactions not in the ordinary course of business or (C) issued or granted any shares of the Company’s capital stock or securities convertible into or exchangeable or exercisable for or that represent the right to receive shares of the Company’s capital stock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under the Stock Plans; and (iii) there has not been any material decrease in the share capital or any material increase in any short-term or long-term indebtedness of the Company or any of its Subsidiaries, considered as one entity, and there has been no dividend or distribution of any kind declared, paid or made, except for dividends or distributions made to a Subsidiary, by the Company or, except for dividends or distributions to the Company or another Subsidiary, by any Subsidiary on any class of shares, or any repurchase or redemption by the Company or any of its Subsidiaries of any class of shares.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Non-Contravention of Existing Instruments</w:t>
      </w:r>
      <w:r>
        <w:rPr>
          <w:rFonts w:ascii="Times New Roman" w:hAnsi="Times New Roman"/>
          <w:sz w:val="20"/>
        </w:rPr>
        <w:t xml:space="preserve">. Neither the execution, delivery and performance by the Company of this Agreement nor the issuance and sale of the Shares in accordance with the provisions herein will (i) conflict with or result in a breach or violation of (a) any of the terms and provisions of, or constitute a default under, the Company’s amended and restated certificate of incorporation, as amended, or amended and restated bylaws, both as currently in effect (true and complete copies of which have been made available through EDGAR), or (b) any applicable statute, rule, regulation or order of any governmental agency or body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Subsidiaries or give to others any rights of termination, amendment, acceleration or cancellation (with or without notice, lapse of time or both) of, any material contract, except, in the case of clauses (i)(b) and (ii) above, for such violations, conflicts or defaults as would not reasonably be expected, individually or in the aggregate, to have a Material Adverse Effect. This Section 2(n) does not relate to matters with respect to tax status, which are the subject of Section 2(o), employee relations and labor matters, which are the subject of Section 2(r), or environmental laws, which are the subject of Section 2(x).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Tax Law Compliance</w:t>
      </w:r>
      <w:r>
        <w:rPr>
          <w:rFonts w:ascii="Times New Roman" w:hAnsi="Times New Roman"/>
          <w:sz w:val="20"/>
        </w:rPr>
        <w:t xml:space="preserve">. The Company and its Subsidiaries have timely prepared and filed all tax returns required to have been filed by them with all appropriate governmental agencies (or extensions have been duly obtained) and timely paid all material taxes shown thereon or otherwise owed by them, except for those which are being contested in good faith, except where failure to file such tax returns or pay such taxes would not, individually or in the aggregate, reasonably be expected to have a Material Adverse Effect. There are no material unpaid assessments against the Company nor, to the Company’s knowledge, any audits by any federal, state or local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Title to Properties</w:t>
      </w:r>
      <w:r>
        <w:rPr>
          <w:rFonts w:ascii="Times New Roman" w:hAnsi="Times New Roman"/>
          <w:sz w:val="20"/>
        </w:rPr>
        <w:t xml:space="preserve">. The Company and its Subsidiaries have good and marketable title to all real properties and all other properties and assets owned by them, in each case free from liens, encumbrances and defects, except such as would not reasonably be expected, individually or in the aggregate, to have a Material Adverse Effect; and the Company and its Subsidiaries hold any leased real or personal property under valid and enforceable leases, except such as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All Necessary Licenses and Permits</w:t>
      </w:r>
      <w:r>
        <w:rPr>
          <w:rFonts w:ascii="Times New Roman" w:hAnsi="Times New Roman"/>
          <w:sz w:val="20"/>
        </w:rPr>
        <w:t xml:space="preserve">. The Company and its Subsidiaries possess adequate certificates, licenses authorities or permits issued by appropriate governmental agencies or bodies necessary to conduct their respective businesses now operated by them, except where failure to so possess would not reasonably be expected, individually or in the aggregate, to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 Material Adverse Effect. The Company and its Subsidiaries have not received any written notice of proceedings relating to the revocation or modification of any such certificate, license, authority or permit that would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Labor Matters</w:t>
      </w:r>
      <w:r>
        <w:rPr>
          <w:rFonts w:ascii="Times New Roman" w:hAnsi="Times New Roman"/>
          <w:sz w:val="20"/>
        </w:rPr>
        <w:t xml:space="preserve">. The Company and its Subsidiaries are not party to or bound by any collective bargaining agreements or other agreements with labor organizations. To the Company’s knowledge, the Company and its Subsidiaries have not violated in any respect any laws, regulations, orders or contract terms affecting the collective bargaining rights of employees or labor organizations, or any laws, regulations or orders affecting employment discrimination, equal opportunity employment, or employees’ health, safety, welfare, wages and hours that individually or in aggregate are reasonably expected to have a Material Adverse Effect. No labor disputes with the employees of the Company or its Subsidiaries, or with the employees of any principal supplier, manufacturer, customer or contractor of the Company or its Subsidiaries, exist or, to the Company’s knowledge, are threatened or imminent, that individually or in aggregate are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Intellectual Property Rights</w:t>
      </w:r>
      <w:r>
        <w:rPr>
          <w:rFonts w:ascii="Times New Roman" w:hAnsi="Times New Roman"/>
          <w:sz w:val="20"/>
        </w:rPr>
        <w:t>. Except as would not, individually or in the aggregate, have or reasonably be expected to have a Material Adverse Effect: (i) the Company and its Subsidiaries own, possess, license or have other rights to use, all patents, patent applications, trade and service marks, trade and service mark registrations, trade names, copyrights, licenses, inventions, trade secrets, technology, know-how and other intellectual property (collectively, the “</w:t>
      </w:r>
      <w:r>
        <w:rPr>
          <w:rFonts w:ascii="Times New Roman" w:hAnsi="Times New Roman"/>
          <w:b/>
          <w:sz w:val="20"/>
        </w:rPr>
        <w:t>Intellectual Property</w:t>
      </w:r>
      <w:r>
        <w:rPr>
          <w:rFonts w:ascii="Times New Roman" w:hAnsi="Times New Roman"/>
          <w:sz w:val="20"/>
        </w:rPr>
        <w:t xml:space="preserve">”) necessary for the conduct of the Company’s business as now conducted or as proposed in the Registration Statement and the Prospectus to be conducted; (ii) there are no rights of third parties to any such Intellectual Property, including liens, security interests or other encumbrances; (iii) to the Company’s knowledge, there is no infringement by third parties of any such Intellectual Property; (iv) there is no pending or, to the Company’s knowledge, threatened action, suit, proceeding or claim by others challenging the Company’s rights in or to any such Intellectual Property; (v) such Intellectual Property that is described in the Registration Statement or Prospectus has not been adjudged by a court of competent jurisdiction invalid or unenforceable, in whole or in part; (vi) there is no pending or, to the Company’s knowledge, threatened action, suit, proceeding or claim by others challenging the validity or scope of any such Intellectual Property that is owned or licensed by the Company, including interferences, oppositions, reexaminations or government proceedings; (vii) there is no pending or, to the Company’s knowledge, threatened action, suit, proceeding or claim by others that the Company infringes, misappropriates, or otherwise violates any patent, trademark, copyright, trade secret or other proprietary rights of others and (viii) the Company has taken all necessary measures to protect the proprietary nature of each item of Intellectual Property, and to maintain in confidence all trade secrets and confidential information comprising a part thereof. Except as would not, individually or in the aggregate, have or reasonably be expected to have a Material Adverse Effect, there is not pending or, to the Company’s knowledge, any threatened action, suit, proceeding or claim by others asserting that the conduct of the Company’s business as now conducted or as proposed in the Registration Statement and the Prospectus to be conducted would require any license under any Intellectual Property of a third party not otherwise disclosed in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Patents</w:t>
      </w:r>
      <w:r>
        <w:rPr>
          <w:rFonts w:ascii="Times New Roman" w:hAnsi="Times New Roman"/>
          <w:sz w:val="20"/>
        </w:rPr>
        <w:t>. (i) All patents and patent applications owned by or exclusively licensed to the Company or under which the Company has rights have, to the knowledge of the Company, been duly and properly filed and each issued patent is being diligently maintained and is valid and enforceable; (ii) the Company is unaware of any facts that would preclude the issuance of a valid and enforceable patent on any pending patent applications included in the Intellectual Property; (iii) to the knowledge of the Company, the Company and the parties prosecuting such applications have complied with their duty of candor and disclosure to the U.S. Patent and Trademark Office (the “</w:t>
      </w:r>
      <w:r>
        <w:rPr>
          <w:rFonts w:ascii="Times New Roman" w:hAnsi="Times New Roman"/>
          <w:b/>
          <w:sz w:val="20"/>
        </w:rPr>
        <w:t>USPTO</w:t>
      </w:r>
      <w:r>
        <w:rPr>
          <w:rFonts w:ascii="Times New Roman" w:hAnsi="Times New Roman"/>
          <w:sz w:val="20"/>
        </w:rPr>
        <w:t xml:space="preserve">”), and all such requirements in the relevant foreign patent authority having similar requirements as the case may be, in connection with such patents and patent applications for which it has filing, prosecution and/or maintenance responsibilities; (iv) to the Company’s knowledge, there is no patent or patent application that contains claims that dominate or may dominate (as such term is described in 35 U.S.C. §135 and 37 C.F.R. 41.100 to 41.208) with the issued or pending claims of any of the Intellectual Property of the Company; (v) to the Company’s knowledge, there is no prior art material to any patent or patent application of the Intellectual Property of the Company that may render any U.S. patent held by the Company invalid or unenforceable or any U.S. patent application held by the Company unpatentable; and (vi) the Company is not aware of any prior art or public or commercial activity or other facts required to be disclosed to the USPTO and any relevant foreign patent authority having similar disclosure requirement that were not disclosed and which would preclude the grant of a patent in connection with any such application or would reasonably be expected to form the basis of a finding of invalidity or unenforceability with respect to any patents that have been issued with respect to such applications.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Compliance with Health Care Laws</w:t>
      </w:r>
      <w:r>
        <w:rPr>
          <w:rFonts w:ascii="Times New Roman" w:hAnsi="Times New Roman"/>
          <w:sz w:val="20"/>
        </w:rPr>
        <w:t>. As to each of the product candidates of the Company, including compounds currently under research and/or development by the Company and subject to the jurisdiction of the Food and Drug Administration (“</w:t>
      </w:r>
      <w:r>
        <w:rPr>
          <w:rFonts w:ascii="Times New Roman" w:hAnsi="Times New Roman"/>
          <w:b/>
          <w:sz w:val="20"/>
        </w:rPr>
        <w:t>FDA</w:t>
      </w:r>
      <w:r>
        <w:rPr>
          <w:rFonts w:ascii="Times New Roman" w:hAnsi="Times New Roman"/>
          <w:sz w:val="20"/>
        </w:rPr>
        <w:t>”), European Medicines Agency (“</w:t>
      </w:r>
      <w:r>
        <w:rPr>
          <w:rFonts w:ascii="Times New Roman" w:hAnsi="Times New Roman"/>
          <w:b/>
          <w:sz w:val="20"/>
        </w:rPr>
        <w:t>EMA</w:t>
      </w:r>
      <w:r>
        <w:rPr>
          <w:rFonts w:ascii="Times New Roman" w:hAnsi="Times New Roman"/>
          <w:sz w:val="20"/>
        </w:rPr>
        <w:t>”) or any equivalent regulatory authority in any legal jurisdiction other than the U.S. and the European Union (each such product, a “</w:t>
      </w:r>
      <w:r>
        <w:rPr>
          <w:rFonts w:ascii="Times New Roman" w:hAnsi="Times New Roman"/>
          <w:b/>
          <w:sz w:val="20"/>
        </w:rPr>
        <w:t>Company Regulated Product</w:t>
      </w:r>
      <w:r>
        <w:rPr>
          <w:rFonts w:ascii="Times New Roman" w:hAnsi="Times New Roman"/>
          <w:sz w:val="20"/>
        </w:rPr>
        <w:t xml:space="preserve">”), if any, such Company Regulated Product is being researched, investigated, developed, manufactured, packaged, labeled, stored, distributed, imported and exported, and tested in compliance in all material respects with all applicable laws. Except as disclosed in the Registration Statement and the Prospectus, (i) the Company has not received any written notices or correspondence from the FDA, the EMA or any other regulatory authority exercising comparable authority, and there is no action or proceeding pending or, to the Company’s knowledge, threatened (including any prosecution, injunction, seizure, civil fine, suspension or recall), in each case alleging that the Company is not currently in material compliance with any and all applicable laws, including, without limitation, the Healthcare Laws (as defined below), implemented by the FDA, EMA or any other regulatory authority exercising comparable authority over any Company Regulated Product and (ii) to the knowledge of the Company, there are no proceedings pending or threatened against the Company with respect to an alleged material violation of the Healthcare Laws or any similar law administered or promulgated by the EMA or any other regulatory authority exercising comparable authority.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sz w:val="20"/>
        </w:rPr>
        <w:t>Health Care Laws</w:t>
      </w:r>
      <w:r>
        <w:rPr>
          <w:rFonts w:ascii="Times New Roman" w:hAnsi="Times New Roman"/>
          <w:sz w:val="20"/>
        </w:rPr>
        <w:t xml:space="preserve">”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criminal laws relating to health care fraud and abuse, including but not limited to 18 U.S.C. Sections 286, 287, 1347 and 1349 and the health care fraud criminal provisions under the Health Insurance Portability and Accountability Act of 1996, 42 U.S.C. §§ 1320d et seq., (“</w:t>
      </w:r>
      <w:r>
        <w:rPr>
          <w:rFonts w:ascii="Times New Roman" w:hAnsi="Times New Roman"/>
          <w:b/>
          <w:sz w:val="20"/>
        </w:rPr>
        <w:t>HIPAA</w:t>
      </w:r>
      <w:r>
        <w:rPr>
          <w:rFonts w:ascii="Times New Roman" w:hAnsi="Times New Roman"/>
          <w:sz w:val="20"/>
        </w:rPr>
        <w:t>”); the Civil Monetary Penalties Law, 42 U.S.C. §§ 1320a-7a and 1320a-7b; the Physician Payments Sunshine Act, 42 U.S.C. § 1320a-7h; the Exclusion Laws, 42 U.S.C. § 1320a-7; HIPAA, as amended by the Health Information Technology for Economic and Clinical Health Act, 42 U.S.C. §§ 17921 et seq.; the Federal Food, Drug, and Cosmetic Act, 21 U.S.C. §§ 301 et seq. (the “</w:t>
      </w:r>
      <w:r>
        <w:rPr>
          <w:rFonts w:ascii="Times New Roman" w:hAnsi="Times New Roman"/>
          <w:b/>
          <w:sz w:val="20"/>
        </w:rPr>
        <w:t>FDCA</w:t>
      </w:r>
      <w:r>
        <w:rPr>
          <w:rFonts w:ascii="Times New Roman" w:hAnsi="Times New Roman"/>
          <w:sz w:val="20"/>
        </w:rPr>
        <w:t xml:space="preserve">”); and the Public Health Service Acts, 42 U.S.C. § 262 and the regulations promulgated pursuant to such laws; and any similar comparable laws and regulations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Clinical Data and Regulatory Compliance</w:t>
      </w:r>
      <w:r>
        <w:rPr>
          <w:rFonts w:ascii="Times New Roman" w:hAnsi="Times New Roman"/>
          <w:sz w:val="20"/>
        </w:rPr>
        <w:t>. All preclinical studies and clinical trials, and other studies and tests of any Company Regulated Product conducted by or on behalf of the Company have been, and if still pending are being, conducted in material compliance and to the extent applicable and required by law with, the applicable protocol for such study or trial, including the FDCA and its implementing regulations governing good laboratory practices and good clinical practices (e.g., 21 C.F.R. Parts 50, 54, 56, and 312 of the U.S. Code of Federal Regulations) and the respective counterparts in the European Union and other jurisdictions outside the United States exercising comparable authority over any Company Regulated Product. Except as disclosed in the Registration Statement and the Prospectus, no clinical trial conducted by or on behalf of the Company has been terminated or placed on full or partial clinical hold by the FDA, EMA or by the applicable Institutional Review Board (“</w:t>
      </w:r>
      <w:r>
        <w:rPr>
          <w:rFonts w:ascii="Times New Roman" w:hAnsi="Times New Roman"/>
          <w:b/>
          <w:sz w:val="20"/>
        </w:rPr>
        <w:t>IRB</w:t>
      </w:r>
      <w:r>
        <w:rPr>
          <w:rFonts w:ascii="Times New Roman" w:hAnsi="Times New Roman"/>
          <w:sz w:val="20"/>
        </w:rPr>
        <w:t xml:space="preserve">”) for safety reasons or otherwise prior to scheduled completion, and neither the FDA, EMA, an IRB nor any other applicable regulatory authority that has or has had jurisdiction over, a clinical trial conducted by or on behalf of the Company has initiated, or, to the Company’s knowledge, threatened to initiate, any action to place a full or partial clinical hold order on, or otherwise terminate or suspend, any proposed or ongoing clinical investigation of the Company Regulated Products conducted or proposed to be conducted by or on behalf of the Company. The Company has made available to the Agent and its counsel all material written formal communications submitted by or on behalf of the Company to any regulatory authority, and each such communication, including all supplements and amendments thereto, was true, complete and correct as of the applicable date thereof. All material summaries of preclinical, nonclinical and other data and studies disclosed in the Registration Statement or the Prospectus are consistent with the raw preclinical, nonclinical and other data associated with the Company’s Regulated Products, in all material respects, and are true, complete and accurate descriptions of the subject matter thereof,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 Debarment or Disqualification</w:t>
      </w:r>
      <w:r>
        <w:rPr>
          <w:rFonts w:ascii="Times New Roman" w:hAnsi="Times New Roman"/>
          <w:sz w:val="20"/>
        </w:rPr>
        <w:t>. Neither the Company nor any of its officers, directors, or employees has been, is, or is in anticipation of being (based on a conviction by the courts or a finding of fault by a regulatory authority): (a) debarred pursuant to the Generic Drug Enforcement Act of 1992 (21 U.S.C. § 335a), as amended from time to time; (b) disqualified from participating in clinical trials pursuant to 21 C.F.R. §312.70, as amended from time to time; (c) disqualified as a testing facility under 21 C.F.R. Part 58, Subpart K, as amended from time to time; (d) excluded, debarred or suspended from or otherwise ineligible to participate in a “</w:t>
      </w:r>
      <w:r>
        <w:rPr>
          <w:rFonts w:ascii="Times New Roman" w:hAnsi="Times New Roman"/>
          <w:b/>
          <w:sz w:val="20"/>
        </w:rPr>
        <w:t>Federal Health Care Program</w:t>
      </w:r>
      <w:r>
        <w:rPr>
          <w:rFonts w:ascii="Times New Roman" w:hAnsi="Times New Roman"/>
          <w:sz w:val="20"/>
        </w:rPr>
        <w:t xml:space="preserve">” as that term is defined in 42 U.S.C. 1320a-7b(f), including under 42 U.S.C. § 1320a-7 or relevant regulations in 42 C.F.R. Part 1001; (e) assessed any civil money penalties pursuant to 42 C.F.R. Part 1003; or (f) included on the HHS/OIG List of Excluded Individuals/Entities, the General Services Administration’s System for Award Management, or the FDA Debarment List or the FDA Disqualified/Restricted List. Neither the Company nor,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knowledge of the Company, any of its officers, directors or employees has engaged in any activities that are prohibited, or are cause for civil penalties, or grounds for mandatory or permissive exclusion, debarment, or suspension pursuant to any of these authorities. Since January 11, 2024, the Company has not used, and is currently not using, in any capacity related to any Company Regulated Product, any person that has ever been, or to the knowledge of the Company, is the subject of a proceeding that could lead to the persons becoming debarred, excluded, disqualified, restricted or suspended pursuant to any of these authorities.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Compliance with Environmental Laws</w:t>
      </w:r>
      <w:r>
        <w:rPr>
          <w:rFonts w:ascii="Times New Roman" w:hAnsi="Times New Roman"/>
          <w:sz w:val="20"/>
        </w:rPr>
        <w:t>. The Company is not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hAnsi="Times New Roman"/>
          <w:b/>
          <w:sz w:val="20"/>
        </w:rPr>
        <w:t>Environmental Laws</w:t>
      </w:r>
      <w:r>
        <w:rPr>
          <w:rFonts w:ascii="Times New Roman" w:hAnsi="Times New Roman"/>
          <w:sz w:val="20"/>
        </w:rPr>
        <w:t xml:space="preserve">”), has not released any hazardous substances regulated by Environmental Law onto any real property that it owns or operates and has not received any written notice or claim that it is liable for any off-site disposal or contamination pursuant to any Environmental Laws, which violation, release, notice, claim, or liability would reasonably be expected, individually or in the aggregate, to have a Material Adverse Effect, and to the Company’s knowledge, there is no pending or threatened investigation that would reasonably be expected to lead to such a claim.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No Material Actions or Proceedings</w:t>
      </w:r>
      <w:r>
        <w:rPr>
          <w:rFonts w:ascii="Times New Roman" w:hAnsi="Times New Roman"/>
          <w:sz w:val="20"/>
        </w:rPr>
        <w:t xml:space="preserve">. Except as described in the Registration Statement and the Prospectus, there are no legal, governmental or regulatory investigations, actions, suits or proceedings pending or, to the Company’s knowledge, threatened, to which the Company or its Subsidiaries are or may reasonably be expected to become a party or to which any property of the Company or its Subsidiaries are or may reasonably be expected to become the subject that, individually or in the aggregate,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Financial Statements</w:t>
      </w:r>
      <w:r>
        <w:rPr>
          <w:rFonts w:ascii="Times New Roman" w:hAnsi="Times New Roman"/>
          <w:sz w:val="20"/>
        </w:rPr>
        <w:t>. The financial statements included or incorporated by reference in the Registration Statement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as applicable, and in conformity with United States generally accepted accounting principles (“</w:t>
      </w:r>
      <w:r>
        <w:rPr>
          <w:rFonts w:ascii="Times New Roman" w:hAnsi="Times New Roman"/>
          <w:b/>
          <w:sz w:val="20"/>
        </w:rPr>
        <w:t>GAAP</w:t>
      </w:r>
      <w:r>
        <w:rPr>
          <w:rFonts w:ascii="Times New Roman" w:hAnsi="Times New Roman"/>
          <w:sz w:val="20"/>
        </w:rPr>
        <w:t xml:space="preserve">”) applied on a consistent basis during the periods involved, except in the case of any unaudited financial statements, which are subject to normal year-end adjustments and do not contain certain footnotes as permitted by the applicable rules of the Commission, and except as otherwise noted therein. To the extent applicable, any pro forma financial statements, information or data included or incorporated by reference in the Registration Statement and the Prospectus comply with the requirements of Regulation S-X of the Securities Act, including, without limitation, Article 8 thereof, fairly present, in all material respects, the information set forth therein and the assumptions used in the preparation of such pro forma financial statements, use reasonable pro forma adjustments to give effect to the circumstances referred to therein and properly apply the pro forma adjustments to historical amounts. There are no financial statements (historical or pro forma) that are required to be included or incorporated by reference in the Registration Statement or the Prospectus that are not included or incorporated by reference therein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Disclosure Controls and Procedures</w:t>
      </w:r>
      <w:r>
        <w:rPr>
          <w:rFonts w:ascii="Times New Roman" w:hAnsi="Times New Roman"/>
          <w:sz w:val="20"/>
        </w:rPr>
        <w:t xml:space="preserve">. The Company and each of its Subsidiaries considered together as one entity have established and maintain disclosure controls and procedures (as defined in Rules 13a-15 and 15d-15 under the Exchange Act), which (a) are designed to ensure that material information relating to the Company, including its Subsidiaries, is made known to the Company’s principal executive officer and its principal financial officer by others within those entities, (b) except as disclosed in the Registration Statement and Prospectus, such disclosure controls are effective in all material respects to perform the functions for which they were established, and (c) have been evaluated by management of the Company for effectiveness as of the end of the Company’s most recent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Internal Controls Over Financial Reporting</w:t>
      </w:r>
      <w:r>
        <w:rPr>
          <w:rFonts w:ascii="Times New Roman" w:hAnsi="Times New Roman"/>
          <w:sz w:val="20"/>
        </w:rPr>
        <w:t xml:space="preserve">. The Company and each of its Subsidiaries considered together as one entity, maintain a system of internal control over financial reporting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Registration Statement and the Prospectus, the Company and its Subsidiaries’ internal controls over financial reporting are effective and the Company and its Subsidiaries are not aware of any material weakness in their internal controls over financial reporting except as described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Company Not an “Investment Company.”</w:t>
      </w:r>
      <w:r>
        <w:rPr>
          <w:rFonts w:ascii="Times New Roman" w:hAnsi="Times New Roman"/>
          <w:sz w:val="20"/>
        </w:rPr>
        <w:t xml:space="preserve"> The Company is not required to be registered as, and after giving effect to the offering and sale of the Shares and the application of the proceeds thereof as described in the Registration Statement and the Prospectus, will not be required to register as, an “investment company” within the meaning of the Investment Company Act of 1940, as amended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No Price Stabilization or Manipulation</w:t>
      </w:r>
      <w:r>
        <w:rPr>
          <w:rFonts w:ascii="Times New Roman" w:hAnsi="Times New Roman"/>
          <w:sz w:val="20"/>
        </w:rPr>
        <w:t xml:space="preserve">. The Company has not taken, and, to the Company’s knowledge, no director, officer of Affiliate of the Company has taken, directly or indirectly (without giving effect to the activities of the Agent), any action designed to cause or to result in the stabilization or manipulation of the price of any security of the Company to facilitate the sale or resale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Anti-Corruption Laws</w:t>
      </w:r>
      <w:r>
        <w:rPr>
          <w:rFonts w:ascii="Times New Roman" w:hAnsi="Times New Roman"/>
          <w:sz w:val="20"/>
        </w:rPr>
        <w:t xml:space="preserve">. Each of the Company, its Subsidiaries and, to the Company’s knowledge, their respective officers, directors, supervisors, managers, agents, or employees are and have at all times been in compliance with: (A) anti-bribery laws, including but not limited to, any applicable law, rule, or regulation of any locality in which the Company or its Subsidiaries have conducted business,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(B) anti-money laundering laws of any locality in which the Company or its Subsidiaries have conducted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(collectively, the “</w:t>
      </w:r>
      <w:r>
        <w:rPr>
          <w:rFonts w:ascii="Times New Roman" w:hAnsi="Times New Roman"/>
          <w:b/>
          <w:sz w:val="20"/>
        </w:rPr>
        <w:t>Anti-Corruption Laws</w:t>
      </w:r>
      <w:r>
        <w:rPr>
          <w:rFonts w:ascii="Times New Roman" w:hAnsi="Times New Roman"/>
          <w:sz w:val="20"/>
        </w:rPr>
        <w:t xml:space="preserve">”). The Company and its Subsidiaries have instituted and maintain policies and procedures to ensure compliance with the Anti-Corruption Laws. No part of the proceeds of the offering of the Shares will be used, directly or indirectly, in violation of the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Sanctions</w:t>
      </w:r>
      <w:r>
        <w:rPr>
          <w:rFonts w:ascii="Times New Roman" w:hAnsi="Times New Roman"/>
          <w:sz w:val="20"/>
        </w:rPr>
        <w:t>. Neither the Company nor any of its Subsidiaries nor, to the knowledge of the Company, any director, officer, agent, employee or Affiliate of the Company or any of its Subsidiaries (i) is, or is controlled or more than 50%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or other relevant sanctions authority (collectively, “</w:t>
      </w:r>
      <w:r>
        <w:rPr>
          <w:rFonts w:ascii="Times New Roman" w:hAnsi="Times New Roman"/>
          <w:b/>
          <w:sz w:val="20"/>
        </w:rPr>
        <w:t>Sanctions</w:t>
      </w:r>
      <w:r>
        <w:rPr>
          <w:rFonts w:ascii="Times New Roman" w:hAnsi="Times New Roman"/>
          <w:sz w:val="20"/>
        </w:rPr>
        <w:t>” and such persons, “</w:t>
      </w:r>
      <w:r>
        <w:rPr>
          <w:rFonts w:ascii="Times New Roman" w:hAnsi="Times New Roman"/>
          <w:b/>
          <w:sz w:val="20"/>
        </w:rPr>
        <w:t>Sanctioned Persons</w:t>
      </w:r>
      <w:r>
        <w:rPr>
          <w:rFonts w:ascii="Times New Roman" w:hAnsi="Times New Roman"/>
          <w:sz w:val="20"/>
        </w:rPr>
        <w:t>” and each such person, a “</w:t>
      </w:r>
      <w:r>
        <w:rPr>
          <w:rFonts w:ascii="Times New Roman" w:hAnsi="Times New Roman"/>
          <w:b/>
          <w:sz w:val="20"/>
        </w:rPr>
        <w:t>Sanctioned Person</w:t>
      </w:r>
      <w:r>
        <w:rPr>
          <w:rFonts w:ascii="Times New Roman" w:hAnsi="Times New Roman"/>
          <w:sz w:val="20"/>
        </w:rPr>
        <w:t>”), (ii) is located, organized or resident in a country or territory that is, or whose government is, the subject of Sanctions that broadly prohibit dealings with that country or territory (including, without limitation, the so-called Donetsk People’s Republic, the so-called Luhansk People’s Republic, the Crimea Region of Ukraine, the non-government controlled areas of the Zaporizhzhia and Kherson Regions of Ukraine (or any other Covered Region of Ukraine identified pursuant to Executive Order 14065), Russia, Cuba, Iran, North Korea and, prior to July 1, 2025, Syria, collectively, “</w:t>
      </w:r>
      <w:r>
        <w:rPr>
          <w:rFonts w:ascii="Times New Roman" w:hAnsi="Times New Roman"/>
          <w:b/>
          <w:sz w:val="20"/>
        </w:rPr>
        <w:t>Sanctioned Countries</w:t>
      </w:r>
      <w:r>
        <w:rPr>
          <w:rFonts w:ascii="Times New Roman" w:hAnsi="Times New Roman"/>
          <w:sz w:val="20"/>
        </w:rPr>
        <w:t>” and each, a “</w:t>
      </w:r>
      <w:r>
        <w:rPr>
          <w:rFonts w:ascii="Times New Roman" w:hAnsi="Times New Roman"/>
          <w:b/>
          <w:sz w:val="20"/>
        </w:rPr>
        <w:t>Sanctioned Country</w:t>
      </w:r>
      <w:r>
        <w:rPr>
          <w:rFonts w:ascii="Times New Roman" w:hAnsi="Times New Roman"/>
          <w:sz w:val="20"/>
        </w:rPr>
        <w:t xml:space="preserve">”)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an underwriter, advisor, investor or otherwise). Neither the Company nor any of its Subsidiaries has engaged in any dealings or transactions with or for the benefit of a Sanctioned Person, or with or in a Sanctioned Country, since April 24, 2019, nor does the Company or any of its Subsidiaries have any plans to engage in dealings or transactions with or for the benefit of a Sanctioned Person, or with or in a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No Applicable Registration or Other Similar Rights</w:t>
      </w:r>
      <w:r>
        <w:rPr>
          <w:rFonts w:ascii="Times New Roman" w:hAnsi="Times New Roman"/>
          <w:sz w:val="20"/>
        </w:rPr>
        <w:t xml:space="preserve">. There are no Persons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Independent Registered Public Accounting Firm</w:t>
      </w:r>
      <w:r>
        <w:rPr>
          <w:rFonts w:ascii="Times New Roman" w:hAnsi="Times New Roman"/>
          <w:sz w:val="20"/>
        </w:rPr>
        <w:t xml:space="preserve">. PricewaterhouseCoopers LLP, who has certified certain financial statements of the Company and its consolidated Subsidiaries and delivered its report with respect to the audited consolidated financial statements and schedules included or incorporated by reference in the Registration Statement and the Prospectus, is an independent registered public accounting firm with respect to the Company within the meaning of the Securities Act and the applicable published rules and regulations thereunder. PricewaterhouseCoopers LLP has not been engaged by the Company to perform any “prohibited activities” or provided to the Company any prohibited “non-audit services” (as defined in Section 10A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Insurance</w:t>
      </w:r>
      <w:r>
        <w:rPr>
          <w:rFonts w:ascii="Times New Roman" w:hAnsi="Times New Roman"/>
          <w:sz w:val="20"/>
        </w:rPr>
        <w:t xml:space="preserve">. The Company and each of its Subsidiaries are insured against such losses and risks and in such amounts as the Company believes are customary in the businesses in which they are engaged; all policies of insurance and fidelity or surety bonds insuring the Company or any of its Subsidiaries or their respective businesses, assets, employees, officers and directors are in full force and effect, except as would not reasonably be expected, individually or in the aggregate, to have a Material Adverse Effect. The Company has no knowledge of any threatened termination of, or material premium increase with respect to, any such policy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individually or in the aggregate, a Material Adverse Effect, except as set forth in or contemplated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Dividend Restrictions</w:t>
      </w:r>
      <w:r>
        <w:rPr>
          <w:rFonts w:ascii="Times New Roman" w:hAnsi="Times New Roman"/>
          <w:sz w:val="20"/>
        </w:rPr>
        <w:t xml:space="preserve">.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Statistical and Market Related Data</w:t>
      </w:r>
      <w:r>
        <w:rPr>
          <w:rFonts w:ascii="Times New Roman" w:hAnsi="Times New Roman"/>
          <w:sz w:val="20"/>
        </w:rPr>
        <w:t xml:space="preserve">. Nothing has come to the attention of the Company that has caused the company to believe that the statistical and market related data included in or incorporated by reference in the Registration Statement and the Prospectus is not based on or derived from sources that are reliable and accurate in all material respects, and, to the extent required by such sources, the Company has obtained the written consent to the use of such data from such sources.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ERISA Compliance</w:t>
      </w:r>
      <w:r>
        <w:rPr>
          <w:rFonts w:ascii="Times New Roman" w:hAnsi="Times New Roman"/>
          <w:sz w:val="20"/>
        </w:rPr>
        <w:t>. Any “employee benefit plan” (as defined under Section 303 of the Employee Retirement Income Security Act of 1974, as amended, and the regulations and published interpretations thereunder (collectively, “</w:t>
      </w:r>
      <w:r>
        <w:rPr>
          <w:rFonts w:ascii="Times New Roman" w:hAnsi="Times New Roman"/>
          <w:b/>
          <w:sz w:val="20"/>
        </w:rPr>
        <w:t>ERISA</w:t>
      </w:r>
      <w:r>
        <w:rPr>
          <w:rFonts w:ascii="Times New Roman" w:hAnsi="Times New Roman"/>
          <w:sz w:val="20"/>
        </w:rPr>
        <w:t>”)) currently maintained by the Company, its Subsidiaries or any of their “ERISA Affiliates” (as defined below) is in compliance in all material respects with the applicable provisions of ERISA. “</w:t>
      </w:r>
      <w:r>
        <w:rPr>
          <w:rFonts w:ascii="Times New Roman" w:hAnsi="Times New Roman"/>
          <w:b/>
          <w:sz w:val="20"/>
        </w:rPr>
        <w:t>ERISA Affiliate</w:t>
      </w:r>
      <w:r>
        <w:rPr>
          <w:rFonts w:ascii="Times New Roman" w:hAnsi="Times New Roman"/>
          <w:sz w:val="20"/>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b/>
          <w:sz w:val="20"/>
        </w:rPr>
        <w:t>Code</w:t>
      </w:r>
      <w:r>
        <w:rPr>
          <w:rFonts w:ascii="Times New Roman" w:hAnsi="Times New Roman"/>
          <w:sz w:val="20"/>
        </w:rPr>
        <w:t xml:space="preserve">”) of which the Company or such Subsidiary is a member. No “reportable event” (as defined under Section 4043(c) of ERISA, other than those events as to which the notice period referred to in Section 4043(a)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ERISA has been waived) has occurred or is reasonably expected to occur with respect to any such “employee benefit plan”. No steps have been taken to terminate any such “employee benefit plan”. Neither the Company, its Subsidiaries nor any of their ERISA Affiliates has incurred or reasonably expects to incur any material liability under Title IV of ERISA with respect to termination of, or withdrawal from, any such “employee benefit plan” or otherwise under Sections 412, 4971, 4975 or 4980B of the Code. Each such “employee benefit plan” that is intended to be qualified under Section 401(a) of the Code is so qualified and, to the knowledge of the Company, its subsidiaries or any of their ERISA Affiliates, as applicable, nothing has occurred, whether by action or failure to act, which would reasonably be expected to cause the revocation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Sarbanes-Oxley</w:t>
      </w:r>
      <w:r>
        <w:rPr>
          <w:rFonts w:ascii="Times New Roman" w:hAnsi="Times New Roman"/>
          <w:sz w:val="20"/>
        </w:rPr>
        <w:t>. There is and has been no failure on the part of the Company and, to the Company’s knowledge, any of the Company’s directors or officers, in their capacities as such, to comply with any provision of the Sarbanes-Oxley Act of 2002, as amended, and the rules and regulations promulgated in connection thereunder (the “</w:t>
      </w:r>
      <w:r>
        <w:rPr>
          <w:rFonts w:ascii="Times New Roman" w:hAnsi="Times New Roman"/>
          <w:b/>
          <w:sz w:val="20"/>
        </w:rPr>
        <w:t>Sarbanes-Oxley Act</w:t>
      </w:r>
      <w:r>
        <w:rPr>
          <w:rFonts w:ascii="Times New Roman" w:hAnsi="Times New Roman"/>
          <w:sz w:val="20"/>
        </w:rPr>
        <w:t xml:space="preserve">”), including Section 402 relating to loans and Sections 302 and 906 relating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No Ratings</w:t>
      </w:r>
      <w:r>
        <w:rPr>
          <w:rFonts w:ascii="Times New Roman" w:hAnsi="Times New Roman"/>
          <w:sz w:val="20"/>
        </w:rPr>
        <w:t xml:space="preserve">. There are no debt securities or preferred stock issued or guaranteed by the Company or any of its Subsidiaries that are rated by a “nationally recognized statistical rating organization”, as such term is defined in Section 3(a)(62)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Forward-Looking Statements</w:t>
      </w:r>
      <w:r>
        <w:rPr>
          <w:rFonts w:ascii="Times New Roman" w:hAnsi="Times New Roman"/>
          <w:sz w:val="20"/>
        </w:rPr>
        <w:t xml:space="preserve">. No financial or operational projection or other “forward-looking statement” (as defined by Section 27A of the Securities Act or Section 21E of the Exchange Act) contained in the Prospectus has been made or reaffirmed without a reasonable basis or has been disclosed other than in good faith; provided that for documents incorporated by reference in the Prospectus, forward-looking statements speak only as to the date they were made or otherwise reaffirmed.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Agent as Principal</w:t>
      </w:r>
      <w:r>
        <w:rPr>
          <w:rFonts w:ascii="Times New Roman" w:hAnsi="Times New Roman"/>
          <w:sz w:val="20"/>
        </w:rPr>
        <w:t xml:space="preserve">. The Company acknowledges and agrees that the Agent has informed the Company that the Agent may, to the extent permitted under the Securities Act and the Exchange Act, purchase and sell Common Shares for its own account while this Agreement is in effect; provided, that (i) no such purchase or sales shall take place while an Issuance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Cybersecurity</w:t>
      </w:r>
      <w:r>
        <w:rPr>
          <w:rFonts w:ascii="Times New Roman" w:hAnsi="Times New Roman"/>
          <w:sz w:val="20"/>
        </w:rPr>
        <w:t>. To the Company’s knowledge, there has been no material security breach or other material compromise of or relating to any of the Company’s or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xml:space="preserve">”) and the Company believes such systems are reasonable and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except in each case as would not, individually or in the aggregate, reasonably be expected to have a Material Adverse Effect. The Company and its Subsidiaries have implemented and maintained commercially reasonable physical, technical and administrative controls, policies, procedures, and safeguards consistent with industry standards and practices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similarly situated companies to maintain and protect their material confidential information and the integrity, continuous operation, redundancy and security of all IT Systems and data, including “Personal Data,” used in connection with their respective businesses. “</w:t>
      </w:r>
      <w:r>
        <w:rPr>
          <w:rFonts w:ascii="Times New Roman" w:hAnsi="Times New Roman"/>
          <w:b/>
          <w:sz w:val="20"/>
        </w:rPr>
        <w:t>Personal Data</w:t>
      </w:r>
      <w:r>
        <w:rPr>
          <w:rFonts w:ascii="Times New Roman" w:hAnsi="Times New Roman"/>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hAnsi="Times New Roman"/>
          <w:b/>
          <w:sz w:val="20"/>
        </w:rPr>
        <w:t>GDPR</w:t>
      </w:r>
      <w:r>
        <w:rPr>
          <w:rFonts w:ascii="Times New Roman" w:hAnsi="Times New Roman"/>
          <w:sz w:val="20"/>
        </w:rPr>
        <w:t xml:space="preserve">”) (EU 2016/679);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Compliance with Data Privacy Laws</w:t>
      </w:r>
      <w:r>
        <w:rPr>
          <w:rFonts w:ascii="Times New Roman" w:hAnsi="Times New Roman"/>
          <w:sz w:val="20"/>
        </w:rPr>
        <w:t>. The Company and its Subsidiaries are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GDPR (collectively, the “</w:t>
      </w:r>
      <w:r>
        <w:rPr>
          <w:rFonts w:ascii="Times New Roman" w:hAnsi="Times New Roman"/>
          <w:b/>
          <w:sz w:val="20"/>
        </w:rPr>
        <w:t>Privacy Laws</w:t>
      </w:r>
      <w:r>
        <w:rPr>
          <w:rFonts w:ascii="Times New Roman" w:hAnsi="Times New Roman"/>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b/>
          <w:sz w:val="20"/>
        </w:rPr>
        <w:t>Policies</w:t>
      </w:r>
      <w:r>
        <w:rPr>
          <w:rFonts w:ascii="Times New Roman" w:hAnsi="Times New Roman"/>
          <w:sz w:val="20"/>
        </w:rPr>
        <w:t xml:space="preserve">”). The Company and its Subsidiaries have at all times made all disclosures to users or customers required by applicable laws and regulatory rules or requirements, except as would not, individually or in the aggregate, reasonably be expected to result in a Material Adverse Effect,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(i)(A) has received notice of any actual or potential liability under or relating to, or actual or potential violation of, any of the Privacy Laws, or (B) has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 except with respect to subsection (i), (ii) and (iii) as would not,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Related Party Transactions</w:t>
      </w:r>
      <w:r>
        <w:rPr>
          <w:rFonts w:ascii="Times New Roman" w:hAnsi="Times New Roman"/>
          <w:sz w:val="20"/>
        </w:rPr>
        <w:t xml:space="preserve">. There are no business relationships or related-party transactions involving the Company or any of its Subsidiaries or any other Person required to be described in the Registration Statement or the Prospectus which have not been described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Export Compliance</w:t>
      </w:r>
      <w:r>
        <w:rPr>
          <w:rFonts w:ascii="Times New Roman" w:hAnsi="Times New Roman"/>
          <w:sz w:val="20"/>
        </w:rPr>
        <w:t xml:space="preserve">. The Company and each of the Subsidiaries has not, nor has any director, officer, agent, employee or other Person acting on behalf of the Company or any of the Subsidiaries violated or failed to comply with any applicable law related to the export or reexport of goods (including hardware, software and technology), services and know-how except in such cases as would not reasonably be expected,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the Company and delivered to the Agent or its counsel in connection with the offering of the Shares shall be deemed a representation and warranty by the Company (and not by such officer in his or her personal capacity), as to matters covered thereby, to the Agent.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the Agent and, for purposes of the opinions to be delivered pursuant to Section 4(p) hereof, counsel to the Company and counsel to the Agent, will rely upon the accuracy and truthfulness of the foregoing representations and hereby consents to such reliance.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 ISSUANCE AND SALE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Sale of Securities</w:t>
      </w:r>
      <w:r>
        <w:rPr>
          <w:rFonts w:ascii="Times New Roman" w:hAnsi="Times New Roman"/>
          <w:sz w:val="20"/>
        </w:rPr>
        <w:t xml:space="preserve">.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Mechanics of Issuances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Issuance Notice</w:t>
      </w:r>
      <w:r>
        <w:rPr>
          <w:rFonts w:ascii="Times New Roman" w:hAnsi="Times New Roman"/>
          <w:sz w:val="20"/>
        </w:rPr>
        <w:t xml:space="preserve">. Upon the terms and subject to the conditions set forth herein, on any Trading Day during the Agency Period on which the conditions set forth in </w:t>
      </w:r>
      <w:r>
        <w:rPr>
          <w:rFonts w:ascii="Times New Roman" w:hAnsi="Times New Roman"/>
          <w:sz w:val="20"/>
          <w:u w:val="single"/>
        </w:rPr>
        <w:t>Section 5(a)</w:t>
      </w:r>
      <w:r>
        <w:rPr>
          <w:rFonts w:ascii="Times New Roman" w:hAnsi="Times New Roman"/>
          <w:sz w:val="20"/>
        </w:rPr>
        <w:t xml:space="preserve"> and </w:t>
      </w:r>
      <w:r>
        <w:rPr>
          <w:rFonts w:ascii="Times New Roman" w:hAnsi="Times New Roman"/>
          <w:sz w:val="20"/>
          <w:u w:val="single"/>
        </w:rPr>
        <w:t>Section 5(b)</w:t>
      </w:r>
      <w:r>
        <w:rPr>
          <w:rFonts w:ascii="Times New Roman" w:hAnsi="Times New Roman"/>
          <w:sz w:val="20"/>
        </w:rPr>
        <w:t xml:space="preserve"> shall have been satisfied, the Company may exercise its right to request an issuance of Shares by delivering to the Agent an Issuance Notice; provided, however,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by the persons set forth in Schedule A hereto and confirmed by the Company by telephone (including a voicemail message to the persons so identified), with the understanding that, with adequate prior written notice, each of the Company and the Agent may modify the list of such persons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Agent Efforts</w:t>
      </w:r>
      <w:r>
        <w:rPr>
          <w:rFonts w:ascii="Times New Roman" w:hAnsi="Times New Roman"/>
          <w:sz w:val="20"/>
        </w:rPr>
        <w:t xml:space="preserve">.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Method of Offer and Sale</w:t>
      </w:r>
      <w:r>
        <w:rPr>
          <w:rFonts w:ascii="Times New Roman" w:hAnsi="Times New Roman"/>
          <w:sz w:val="20"/>
        </w:rPr>
        <w:t xml:space="preserve">. The Shares may be offered and sold (A) in privately negotiated transactions with the consent of the Company or (B) by any method permitted by law deemed to be an “at the market offering”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(except as specified in Clause (A) of the preceding sentence), and (except as specified in clauses (A) and (B) of the preceding sentence) the method of placement of any Shares by the Agent shall be at the Agent’s discretion; provided such method is an “at the market offering” as defined in Rule 415(a)(4)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Confirmation to the Company</w:t>
      </w:r>
      <w:r>
        <w:rPr>
          <w:rFonts w:ascii="Times New Roman" w:hAnsi="Times New Roman"/>
          <w:sz w:val="20"/>
        </w:rPr>
        <w:t xml:space="preserve">.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Settlement</w:t>
      </w:r>
      <w:r>
        <w:rPr>
          <w:rFonts w:ascii="Times New Roman" w:hAnsi="Times New Roman"/>
          <w:sz w:val="20"/>
        </w:rPr>
        <w:t xml:space="preserve">. Each issuance of Shares will be settled on the applicable Settlement Date for such issuance of Shares and, subject to the provisions of </w:t>
      </w:r>
      <w:r>
        <w:rPr>
          <w:rFonts w:ascii="Times New Roman" w:hAnsi="Times New Roman"/>
          <w:sz w:val="20"/>
          <w:u w:val="single"/>
        </w:rPr>
        <w:t>Section 5</w:t>
      </w:r>
      <w:r>
        <w:rPr>
          <w:rFonts w:ascii="Times New Roman" w:hAnsi="Times New Roman"/>
          <w:sz w:val="20"/>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aggregate Issuance Price in same day funds delivered to an account designated by the Company prior to the Settlement Date. The Company may sell Shares to the Agent as principal at a price agreed upon by the parties at each relevant time Shares are sold pursuant to this Agreement (each, a “</w:t>
      </w:r>
      <w:r>
        <w:rPr>
          <w:rFonts w:ascii="Times New Roman" w:hAnsi="Times New Roman"/>
          <w:b/>
          <w:sz w:val="20"/>
        </w:rPr>
        <w:t>Time of Sale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Suspension or Termination of Sales</w:t>
      </w:r>
      <w:r>
        <w:rPr>
          <w:rFonts w:ascii="Times New Roman" w:hAnsi="Times New Roman"/>
          <w:sz w:val="20"/>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receipt of such notice; (B) if the Company suspends or terminates any sale of Shares after the Agent confirms such sale to the Company, the Company shall still be obligated to comply with </w:t>
      </w:r>
      <w:r>
        <w:rPr>
          <w:rFonts w:ascii="Times New Roman" w:hAnsi="Times New Roman"/>
          <w:sz w:val="20"/>
          <w:u w:val="single"/>
        </w:rPr>
        <w:t>Section 3(b)(v)</w:t>
      </w:r>
      <w:r>
        <w:rPr>
          <w:rFonts w:ascii="Times New Roman" w:hAnsi="Times New Roman"/>
          <w:sz w:val="20"/>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No Guarantee of Placement, Etc</w:t>
      </w:r>
      <w:r>
        <w:rPr>
          <w:rFonts w:ascii="Times New Roman" w:hAnsi="Times New Roman"/>
          <w:sz w:val="20"/>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Material Non-Public Information</w:t>
      </w:r>
      <w:r>
        <w:rPr>
          <w:rFonts w:ascii="Times New Roman" w:hAnsi="Times New Roman"/>
          <w:sz w:val="20"/>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Fees</w:t>
      </w:r>
      <w:r>
        <w:rPr>
          <w:rFonts w:ascii="Times New Roman" w:hAnsi="Times New Roman"/>
          <w:sz w:val="20"/>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hAnsi="Times New Roman"/>
          <w:sz w:val="20"/>
          <w:u w:val="single"/>
        </w:rPr>
        <w:t>Section 3(b)(vi))</w:t>
      </w:r>
      <w:r>
        <w:rPr>
          <w:rFonts w:ascii="Times New Roman" w:hAnsi="Times New Roman"/>
          <w:sz w:val="20"/>
        </w:rPr>
        <w:t xml:space="preserve"> by the Agent deducting the Selling Commission from the applicable Issuance Amount. For avoidance of doubt, the Company shall not be required to pay to the Agent any Selling Commission with respect to any Issuance Notice, except to the extent Shares are placed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Expenses</w:t>
      </w:r>
      <w:r>
        <w:rPr>
          <w:rFonts w:ascii="Times New Roman" w:hAnsi="Times New Roman"/>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hAnsi="Times New Roman"/>
          <w:b/>
          <w:sz w:val="20"/>
        </w:rPr>
        <w:t>Blue Sky Survey</w:t>
      </w:r>
      <w:r>
        <w:rPr>
          <w:rFonts w:ascii="Times New Roman" w:hAnsi="Times New Roman"/>
          <w:sz w:val="20"/>
        </w:rPr>
        <w:t xml:space="preserve">” or memorandum and a “Canadian wrapper,” and any supplements thereto, advising the Agent of such qualifications, registrations, determinations and exemptions; (vii) the reasonable and documented fees and disbursements of the Agent’s counsel, including the reasonable and documented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of the preceding sentence shall not exceed (A) $75,000 in connection with execution of this Agreement, (B) $25,000 in connection with each Triggering Event Date (as defined below) involving the filing of an annual report on Form 10-K on which the Company is required to provide a certificate pursuant to </w:t>
      </w:r>
      <w:r>
        <w:rPr>
          <w:rFonts w:ascii="Times New Roman" w:hAnsi="Times New Roman"/>
          <w:sz w:val="20"/>
          <w:u w:val="single"/>
        </w:rPr>
        <w:t>Section 4(o)</w:t>
      </w:r>
      <w:r>
        <w:rPr>
          <w:rFonts w:ascii="Times New Roman" w:hAnsi="Times New Roman"/>
          <w:sz w:val="20"/>
        </w:rPr>
        <w:t xml:space="preserve"> and (C) $20,000 in connection with each other Triggering Event Date on which the Company is required to provide a certificate pursuant to </w:t>
      </w:r>
      <w:r>
        <w:rPr>
          <w:rFonts w:ascii="Times New Roman" w:hAnsi="Times New Roman"/>
          <w:sz w:val="20"/>
          <w:u w:val="single"/>
        </w:rPr>
        <w:t>Section 4(o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 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with the Agent as follows, in addition to any other covenants and agreements made elsewhere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Act Compliance</w:t>
      </w:r>
      <w:r>
        <w:rPr>
          <w:rFonts w:ascii="Times New Roman" w:hAnsi="Times New Roman"/>
          <w:sz w:val="20"/>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hAnsi="Times New Roman"/>
          <w:b/>
          <w:sz w:val="20"/>
        </w:rPr>
        <w:t>Interim Prospectus Supplement</w:t>
      </w:r>
      <w:r>
        <w:rPr>
          <w:rFonts w:ascii="Times New Roman" w:hAnsi="Times New Roman"/>
          <w:sz w:val="20"/>
        </w:rPr>
        <w:t xml:space="preserve">”), such summary information and, at least once a quarter and subject to this Section 4, file such Interim Prospectus Supplement pursuant to Rule 424(b) under the Securities Act (and within the time periods required by Rule 424(b) and Rule 430B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Securities Act Compliance</w:t>
      </w:r>
      <w:r>
        <w:rPr>
          <w:rFonts w:ascii="Times New Roman" w:hAnsi="Times New Roman"/>
          <w:sz w:val="20"/>
        </w:rPr>
        <w:t xml:space="preserve">. After the date of this Agreement, the Company shall promptly advise the Agent in writing: (i) of the receipt of any comments of, or requests for additional or supplemental information from, the Commission relating to the Registration Statement or the Prospectus; (ii) of the time and date of any filing of any post-effective amendment to the Registration Statement, any Rule 462(b) Registration Statement or any amendment or supplement to the Prospectus or any Free Writing Prospectus; (iii) of the time and date that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commercially reasonable efforts to obtain the lifting of such order as soon as reasonably practicable. Additionally, the Company agrees that it shall comply with the provisions of Rule 424(b) and Rule 433, as applicable, under the Securities Act and will use its commercially reasonable efforts to confirm that any filings made by the Company under such Rule 424(b) or Rule 433 were filed in a timely manner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Amendments and Supplements to the Prospectus and Other Securities Act Matters</w:t>
      </w:r>
      <w:r>
        <w:rPr>
          <w:rFonts w:ascii="Times New Roman" w:hAnsi="Times New Roman"/>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(including a document incorporated by reference in the Prospectus) so that the statements in the Prospectus as so amended or supplemented will not include an untrue statement of a material fact or omit to state a material fact necessary in order to make the statements therein, in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Notwithstanding the foregoing, the Company shall not be required to file such amendment or supplement if there is no pending Issuance Notice and the Company believes that it is in its best interest not to file such amendment or supplement; however, the Company agrees not to provide an Issuance Notice or otherwise sell under this Agreement until such amendment or supplement is filed or it is determined that such amendment or supplement is no longer required.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Agent’s Review of Proposed Amendments and Supplements</w:t>
      </w:r>
      <w:r>
        <w:rPr>
          <w:rFonts w:ascii="Times New Roman" w:hAnsi="Times New Roman"/>
          <w:sz w:val="20"/>
        </w:rPr>
        <w:t xml:space="preserve">. Prior to amending or supplementing the Registration Statement (including any registration statement filed under Rule 462(b) under the Securities Act, but excluding (i) the filing under the Exchange Act or documents incorporated by reference into the Registration Statement that either (A) do not name the Agent and do not relate to the transactions contemplated by this Agreement or (B) include disclosure naming the Agent and regarding the transactions contemplated by this Agreement that is limited to disclosure of periodic sales pursuant to this Agreement, and (ii) amendments or supplements that do not name the Agent and do not relate to the transactions contemplated by this Agreement) or the Prospectus (excluding any amendment or supplement through incorporation of any report filed under the Exchange Act), the Company shall furnish to the Agent for review,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amount of time prior to the proposed time of filing or use thereof, a copy of each such proposed amendment or supplement, and the Company shall not file or use any such proposed amendment or supplement without the Agent’s prior consent, which shall not be unreasonably withheld, conditioned or delayed, and shall file with the Commission within the applicable period specified in Rule 424(b) under the Securities Act any prospectus required to be filed pursuant to such Rule.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Use of Free Writing Prospectus</w:t>
      </w:r>
      <w:r>
        <w:rPr>
          <w:rFonts w:ascii="Times New Roman" w:hAnsi="Times New Roman"/>
          <w:sz w:val="20"/>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hAnsi="Times New Roman"/>
          <w:b/>
          <w:sz w:val="20"/>
        </w:rPr>
        <w:t>Free Writing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Free Writing Prospectuses</w:t>
      </w:r>
      <w:r>
        <w:rPr>
          <w:rFonts w:ascii="Times New Roman" w:hAnsi="Times New Roman"/>
          <w:sz w:val="20"/>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light of the circumstances prevailing at such subsequent time, not misleading, as the case may be; </w:t>
      </w:r>
      <w:r>
        <w:rPr>
          <w:rFonts w:ascii="Times New Roman" w:hAnsi="Times New Roman"/>
          <w:i/>
          <w:sz w:val="20"/>
        </w:rPr>
        <w:t>provided, however</w:t>
      </w:r>
      <w:r>
        <w:rPr>
          <w:rFonts w:ascii="Times New Roman" w:hAnsi="Times New Roman"/>
          <w:sz w:val="20"/>
        </w:rPr>
        <w:t xml:space="preserve">,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Filing of Agent Free Writing Prospectuses</w:t>
      </w:r>
      <w:r>
        <w:rPr>
          <w:rFonts w:ascii="Times New Roman" w:hAnsi="Times New Roman"/>
          <w:sz w:val="20"/>
        </w:rPr>
        <w:t xml:space="preserve">.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Copies of Registration Statement and Prospectus</w:t>
      </w:r>
      <w:r>
        <w:rPr>
          <w:rFonts w:ascii="Times New Roman" w:hAnsi="Times New Roman"/>
          <w:sz w:val="20"/>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(which may be electronic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(it being acknowledged that the Company may delay the filing of any amendment or supplement, if, in the judgment of the Company, it is in the best interest of the Company); provided, however, that if during such same period the Agent is required to deliver a prospectus in respect of transactions in the Shares, the Company shall promptly prepare and file with the Commission such an amendment or supplement.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 Sky Compliance</w:t>
      </w:r>
      <w:r>
        <w:rPr>
          <w:rFonts w:ascii="Times New Roman" w:hAnsi="Times New Roman"/>
          <w:sz w:val="20"/>
        </w:rPr>
        <w:t xml:space="preserve">. The Company shall cooperate with the Agent and counsel for the Agent to qualify or register the Shares for sale under (or obtain exemptions from the application of) the state securities or blue sky laws or Canadian provincial securities laws (or other foreign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Earnings Statement</w:t>
      </w:r>
      <w:r>
        <w:rPr>
          <w:rFonts w:ascii="Times New Roman" w:hAnsi="Times New Roman"/>
          <w:sz w:val="20"/>
        </w:rPr>
        <w:t xml:space="preserve">. As soon as reasonably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provided that the Company will be deemed to have furnished such statement to its security holders and the Agent to the extent they are filed on EDGAR or any successor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Listing; Reservation of Shares</w:t>
      </w:r>
      <w:r>
        <w:rPr>
          <w:rFonts w:ascii="Times New Roman" w:hAnsi="Times New Roman"/>
          <w:sz w:val="20"/>
        </w:rPr>
        <w:t xml:space="preserve">. (a) The Company will use its best efforts to maintain the listing of the Shares on the Principal Market; and (b) the Company will reserve and keep available at all times, free of preemptive rights, Shares for the purpose of enabling the Company to satisfy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Transfer Agent</w:t>
      </w:r>
      <w:r>
        <w:rPr>
          <w:rFonts w:ascii="Times New Roman" w:hAnsi="Times New Roman"/>
          <w:sz w:val="20"/>
        </w:rPr>
        <w:t xml:space="preserve">. The Company shall engage and maintain, at its expense, a registrar and transfer agent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Due Diligence</w:t>
      </w:r>
      <w:r>
        <w:rPr>
          <w:rFonts w:ascii="Times New Roman" w:hAnsi="Times New Roman"/>
          <w:sz w:val="20"/>
        </w:rPr>
        <w:t xml:space="preserve">.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Representations and Warranties</w:t>
      </w:r>
      <w:r>
        <w:rPr>
          <w:rFonts w:ascii="Times New Roman" w:hAnsi="Times New Roman"/>
          <w:sz w:val="20"/>
        </w:rPr>
        <w:t xml:space="preserve">.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Deliverables at Triggering Event Dates; Certificates</w:t>
      </w:r>
      <w:r>
        <w:rPr>
          <w:rFonts w:ascii="Times New Roman" w:hAnsi="Times New Roman"/>
          <w:sz w:val="20"/>
        </w:rPr>
        <w:t xml:space="preserve">. The Company agrees that on or prior to the date of the first Issuance Notice and, during the term of this Agreement after the date of the first Issuance Notice, upon: </w:t>
      </w:r>
    </w:p>
    <w:p>
      <w:pPr>
        <w:pStyle w:val="TextBody"/>
        <w:bidi w:val="0"/>
        <w:spacing w:before="120" w:after="0"/>
        <w:jc w:val="left"/>
        <w:rPr>
          <w:rFonts w:ascii="Times New Roman" w:hAnsi="Times New Roman"/>
          <w:sz w:val="20"/>
        </w:rPr>
      </w:pPr>
      <w:r>
        <w:rPr>
          <w:rFonts w:ascii="Times New Roman" w:hAnsi="Times New Roman"/>
          <w:sz w:val="20"/>
        </w:rPr>
        <w:t xml:space="preserve">(i) 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 </w:t>
      </w:r>
    </w:p>
    <w:p>
      <w:pPr>
        <w:pStyle w:val="TextBody"/>
        <w:bidi w:val="0"/>
        <w:spacing w:before="120" w:after="0"/>
        <w:jc w:val="left"/>
        <w:rPr>
          <w:rFonts w:ascii="Times New Roman" w:hAnsi="Times New Roman"/>
          <w:sz w:val="20"/>
        </w:rPr>
      </w:pPr>
      <w:r>
        <w:rPr>
          <w:rFonts w:ascii="Times New Roman" w:hAnsi="Times New Roman"/>
          <w:sz w:val="20"/>
        </w:rPr>
        <w:t xml:space="preserve">(ii)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filing with the Commission of a current report on Form 8-K of the Company (i)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and/or (ii) disclosing any material transaction requiring the filing of historical or pro forma financial statements under Item 9.01 of Form 8-K and subject to the guidance set forth in Section 2050.3 of the Financial Reporting Manual of the Commission which is material to the offering of securities of the Company in the Agent’s reasonable discretion; </w:t>
      </w:r>
    </w:p>
    <w:p>
      <w:pPr>
        <w:pStyle w:val="TextBody"/>
        <w:bidi w:val="0"/>
        <w:spacing w:before="240" w:after="0"/>
        <w:jc w:val="left"/>
        <w:rPr>
          <w:rFonts w:ascii="Times New Roman" w:hAnsi="Times New Roman"/>
          <w:sz w:val="20"/>
        </w:rPr>
      </w:pPr>
      <w:r>
        <w:rPr>
          <w:rFonts w:ascii="Times New Roman" w:hAnsi="Times New Roman"/>
          <w:sz w:val="20"/>
        </w:rPr>
        <w:t>(any such event, a “</w:t>
      </w:r>
      <w:r>
        <w:rPr>
          <w:rFonts w:ascii="Times New Roman" w:hAnsi="Times New Roman"/>
          <w:b/>
          <w:sz w:val="20"/>
        </w:rPr>
        <w:t>Triggering Event Date</w:t>
      </w:r>
      <w:r>
        <w:rPr>
          <w:rFonts w:ascii="Times New Roman" w:hAnsi="Times New Roman"/>
          <w:sz w:val="20"/>
        </w:rPr>
        <w:t xml:space="preserve">”), the Company shall furnish the Agent (but in the case of clause (iii)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hAnsi="Times New Roman"/>
          <w:sz w:val="20"/>
          <w:u w:val="single"/>
        </w:rPr>
        <w:t>Section 5(a)(iii)</w:t>
      </w:r>
      <w:r>
        <w:rPr>
          <w:rFonts w:ascii="Times New Roman" w:hAnsi="Times New Roman"/>
          <w:sz w:val="20"/>
        </w:rPr>
        <w:t xml:space="preserve"> hereof, and (C) containing any other certification that the Agent shall reasonably request. The requirement to provide a certificate under this </w:t>
      </w:r>
      <w:r>
        <w:rPr>
          <w:rFonts w:ascii="Times New Roman" w:hAnsi="Times New Roman"/>
          <w:sz w:val="20"/>
          <w:u w:val="single"/>
        </w:rPr>
        <w:t>Section 4(o)</w:t>
      </w:r>
      <w:r>
        <w:rPr>
          <w:rFonts w:ascii="Times New Roman" w:hAnsi="Times New Roman"/>
          <w:sz w:val="20"/>
        </w:rPr>
        <w:t xml:space="preserve"> shall be waived for any Triggering Event Date occurring at a time when no Issuance Notice is pending or a suspension is in effect, which waiver shall continue until the earlier to occur of the date the Company delivers an Issuance Notice with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an Issuance Notice with instructions for the sale of Shares or the Agent sells any Shares pursuant to such instructions, the Company shall provide the Agent with a certificate in conformity with this Section 4(o) dated on or prior to the date that an Issuance Notice with instructions for the sale of Shares is issued.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Legal Opinions</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delivered to the Agent (i) a negative assurances letter and legal opinion of Wilmer Cutler Pickering Hale and Dorr LLP, counsel to the Company, and (ii) a legal opinion of Brown Rudnick LLP, intellectual property counsel to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cause to be furnished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Comfort Letter</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PricewaterhouseCoopers LLP, the independent registered public accounting firm who has audited or reviewed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At any time when an Issuance Notice is outstanding,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Secretary’s Certificate</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(or a duly authorized committee thereof)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Agent’s Own Account; Clients’ Account</w:t>
      </w:r>
      <w:r>
        <w:rPr>
          <w:rFonts w:ascii="Times New Roman" w:hAnsi="Times New Roman"/>
          <w:sz w:val="20"/>
        </w:rPr>
        <w:t xml:space="preserve">. The Company consents to the Agent trading, in compliance with applicable law, in the Common Shares for the Agent’s own account and for the account of its clients at the same time as sales of the Shares occur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Investment Limitation</w:t>
      </w:r>
      <w:r>
        <w:rPr>
          <w:rFonts w:ascii="Times New Roman" w:hAnsi="Times New Roman"/>
          <w:sz w:val="20"/>
        </w:rPr>
        <w:t xml:space="preserve">. The Company shall not invest, or otherwise use the proceeds received by the Company from its sale of the Shares in such a manner as would require the Company or any of its subsidiaries to register as an investment company under the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Market Activities</w:t>
      </w:r>
      <w:r>
        <w:rPr>
          <w:rFonts w:ascii="Times New Roman" w:hAnsi="Times New Roman"/>
          <w:sz w:val="20"/>
        </w:rPr>
        <w:t>. The Company has not taken, nor will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its commercially reasonable efforts to cause each of its Affiliates to, comply with all applicable provisions of Regulation M. If the limitations of Rule 102 of Regulation M (“</w:t>
      </w:r>
      <w:r>
        <w:rPr>
          <w:rFonts w:ascii="Times New Roman" w:hAnsi="Times New Roman"/>
          <w:b/>
          <w:sz w:val="20"/>
        </w:rPr>
        <w:t>Rule 102</w:t>
      </w:r>
      <w:r>
        <w:rPr>
          <w:rFonts w:ascii="Times New Roman" w:hAnsi="Times New Roman"/>
          <w:sz w:val="20"/>
        </w:rPr>
        <w:t xml:space="preserve">”) do not apply with respect to the Shares or any other reference security pursuant to any exception set forth in Section (d) of Rule 102, then promptly upon notice from the Agent (or, if later, at the time stated in the notice), the Company will, and shall use its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Notice of Other Sale</w:t>
      </w:r>
      <w:r>
        <w:rPr>
          <w:rFonts w:ascii="Times New Roman" w:hAnsi="Times New Roman"/>
          <w:sz w:val="20"/>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earlier of (A) the third Trading Day immediately following the Settlement Date with respect to Shares most recently sold pursuant to such Issuance Notice and (B) the date such Issuance Notice is cancelled if no Shares have been sold pursuant to such Issuance 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applicable in connection with the Company’s (i) offer,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the rules of the Principal Market or other compensation plan of the Company or its subsidiaries, whether now in effect or hereinafter implemented, (ii) offer, issuance or sale of Common Shares issuable upon exchange, conversion or redemption of securities or the exercise or vesting of warrants, options or other equity awards or rights in effect or outstanding , and (iii) modification of any outstanding options, warrants or any rights to purchase or acquire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Agent Counsel Legal Opinion</w:t>
      </w:r>
      <w:r>
        <w:rPr>
          <w:rFonts w:ascii="Times New Roman" w:hAnsi="Times New Roman"/>
          <w:sz w:val="20"/>
        </w:rPr>
        <w:t xml:space="preserve">. Agent shall have received from Paul Hasting LLP, counsel for Agent, such opinion or opinions and negative assurances letters, on or before the date on which the delivery of the Company counsel legal opinion is required pursuant to Section 4(p), with respect to such matters as Agent may reasonably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 CONDITIONS TO DELIVERY OF ISSUANCE NOTICES AND TO SETTLEMENT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Conditions Precedent to the Right of the Company to Deliver an Issuance Notice and the Obligation of the Agent to Sell Shares</w:t>
      </w:r>
      <w:r>
        <w:rPr>
          <w:rFonts w:ascii="Times New Roman" w:hAnsi="Times New Roman"/>
          <w:sz w:val="20"/>
        </w:rPr>
        <w:t xml:space="preserve">.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Accuracy of the Company’s Representations and Warranties; Performance by the Company</w:t>
      </w:r>
      <w:r>
        <w:rPr>
          <w:rFonts w:ascii="Times New Roman" w:hAnsi="Times New Roman"/>
          <w:sz w:val="20"/>
        </w:rPr>
        <w:t xml:space="preserve">. The representations and warranties of the Company contained in this Agreement are true and correct as of the date of the Issuance Notice (other than representations and warranties made as of a specific date that shall be true and correct as of such date), and the Company shall have delivered the certificate required to be delivered pursuant to </w:t>
      </w:r>
      <w:r>
        <w:rPr>
          <w:rFonts w:ascii="Times New Roman" w:hAnsi="Times New Roman"/>
          <w:sz w:val="20"/>
          <w:u w:val="single"/>
        </w:rPr>
        <w:t>Section 4(o)</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4(o)</w:t>
      </w:r>
      <w:r>
        <w:rPr>
          <w:rFonts w:ascii="Times New Roman" w:hAnsi="Times New Roman"/>
          <w:sz w:val="20"/>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hAnsi="Times New Roman"/>
          <w:sz w:val="20"/>
          <w:u w:val="single"/>
        </w:rPr>
        <w:t>Section 4(p)</w:t>
      </w:r>
      <w:r>
        <w:rPr>
          <w:rFonts w:ascii="Times New Roman" w:hAnsi="Times New Roman"/>
          <w:sz w:val="20"/>
        </w:rPr>
        <w:t xml:space="preserve">, </w:t>
      </w:r>
      <w:r>
        <w:rPr>
          <w:rFonts w:ascii="Times New Roman" w:hAnsi="Times New Roman"/>
          <w:sz w:val="20"/>
          <w:u w:val="single"/>
        </w:rPr>
        <w:t>Section 4(q)</w:t>
      </w:r>
      <w:r>
        <w:rPr>
          <w:rFonts w:ascii="Times New Roman" w:hAnsi="Times New Roman"/>
          <w:sz w:val="20"/>
        </w:rPr>
        <w:t xml:space="preserve"> and </w:t>
      </w:r>
      <w:r>
        <w:rPr>
          <w:rFonts w:ascii="Times New Roman" w:hAnsi="Times New Roman"/>
          <w:sz w:val="20"/>
          <w:u w:val="single"/>
        </w:rPr>
        <w:t>Section 4(r)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 Injunction</w:t>
      </w:r>
      <w:r>
        <w:rPr>
          <w:rFonts w:ascii="Times New Roman" w:hAnsi="Times New Roman"/>
          <w:sz w:val="20"/>
        </w:rPr>
        <w:t xml:space="preserve">.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Material Adverse Effect</w:t>
      </w:r>
      <w:r>
        <w:rPr>
          <w:rFonts w:ascii="Times New Roman" w:hAnsi="Times New Roman"/>
          <w:sz w:val="20"/>
        </w:rPr>
        <w:t xml:space="preserve">.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No Suspension of Trading in or Delisting of Common Shares; Other Events</w:t>
      </w:r>
      <w:r>
        <w:rPr>
          <w:rFonts w:ascii="Times New Roman" w:hAnsi="Times New Roman"/>
          <w:sz w:val="20"/>
        </w:rPr>
        <w:t xml:space="preserve">.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either shall have been suspended or limited, or minimum or maximum prices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been generally established on any of such stock exchanges by the Commission or FINRA; (ii) a general banking moratorium shall have been declared by any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Documents Required to be Delivered on each Issuance Notice Date</w:t>
      </w:r>
      <w:r>
        <w:rPr>
          <w:rFonts w:ascii="Times New Roman" w:hAnsi="Times New Roman"/>
          <w:sz w:val="20"/>
        </w:rPr>
        <w:t xml:space="preserve">.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Misstatement or Material Omission</w:t>
      </w:r>
      <w:r>
        <w:rPr>
          <w:rFonts w:ascii="Times New Roman" w:hAnsi="Times New Roman"/>
          <w:sz w:val="20"/>
        </w:rPr>
        <w:t xml:space="preserve">.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INDEMNIFICATION AND CONTRIBUTION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of the Agent</w:t>
      </w:r>
      <w:r>
        <w:rPr>
          <w:rFonts w:ascii="Times New Roman" w:hAnsi="Times New Roman"/>
          <w:sz w:val="20"/>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light of the circumstances under which they were made, not misleading; and to reimburse the Agent and each such officer, employee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controlling person for any and all reasonable and documented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statements in the first sentence of the ninth paragraph under the caption “Plan of Distribution” in the Prospectus (the “</w:t>
      </w:r>
      <w:r>
        <w:rPr>
          <w:rFonts w:ascii="Times New Roman" w:hAnsi="Times New Roman"/>
          <w:b/>
          <w:sz w:val="20"/>
        </w:rPr>
        <w:t>Agent Information</w:t>
      </w:r>
      <w:r>
        <w:rPr>
          <w:rFonts w:ascii="Times New Roman" w:hAnsi="Times New Roman"/>
          <w:sz w:val="20"/>
        </w:rPr>
        <w:t xml:space="preserve">”). The indemnity agreement set forth in this </w:t>
      </w:r>
      <w:r>
        <w:rPr>
          <w:rFonts w:ascii="Times New Roman" w:hAnsi="Times New Roman"/>
          <w:sz w:val="20"/>
          <w:u w:val="single"/>
        </w:rPr>
        <w:t>Section 6(a)</w:t>
      </w:r>
      <w:r>
        <w:rPr>
          <w:rFonts w:ascii="Times New Roman" w:hAnsi="Times New Roman"/>
          <w:sz w:val="20"/>
        </w:rPr>
        <w:t xml:space="preserve">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of the Company, its Directors and Officers</w:t>
      </w:r>
      <w:r>
        <w:rPr>
          <w:rFonts w:ascii="Times New Roman" w:hAnsi="Times New Roman"/>
          <w:sz w:val="20"/>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Agent Information, and to reimburse the Company and each such director, officer and controlling person for any and all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Notifications and Other Indemnification Procedures</w:t>
      </w:r>
      <w:r>
        <w:rPr>
          <w:rFonts w:ascii="Times New Roman" w:hAnsi="Times New Roman"/>
          <w:sz w:val="20"/>
        </w:rPr>
        <w:t xml:space="preserve">. Promptly after receipt by an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such indemnified party will, if a claim in respect thereof is to be made against an indemnifying party under this </w:t>
      </w:r>
      <w:r>
        <w:rPr>
          <w:rFonts w:ascii="Times New Roman" w:hAnsi="Times New Roman"/>
          <w:sz w:val="20"/>
          <w:u w:val="single"/>
        </w:rPr>
        <w:t>Section 6</w:t>
      </w:r>
      <w:r>
        <w:rPr>
          <w:rFonts w:ascii="Times New Roman" w:hAnsi="Times New Roman"/>
          <w:sz w:val="20"/>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Times New Roman" w:hAnsi="Times New Roman"/>
          <w:sz w:val="20"/>
          <w:u w:val="single"/>
        </w:rPr>
        <w:t>Section 6</w:t>
      </w:r>
      <w:r>
        <w:rPr>
          <w:rFonts w:ascii="Times New Roman" w:hAnsi="Times New Roman"/>
          <w:sz w:val="20"/>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hAnsi="Times New Roman"/>
          <w:sz w:val="20"/>
          <w:u w:val="single"/>
        </w:rPr>
        <w:t>Section 6</w:t>
      </w:r>
      <w:r>
        <w:rPr>
          <w:rFonts w:ascii="Times New Roman" w:hAnsi="Times New Roman"/>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hAnsi="Times New Roman"/>
          <w:sz w:val="20"/>
          <w:u w:val="single"/>
        </w:rPr>
        <w:t>Section 6(a)</w:t>
      </w:r>
      <w:r>
        <w:rPr>
          <w:rFonts w:ascii="Times New Roman" w:hAnsi="Times New Roman"/>
          <w:sz w:val="20"/>
        </w:rPr>
        <w:t xml:space="preserve"> and </w:t>
      </w:r>
      <w:r>
        <w:rPr>
          <w:rFonts w:ascii="Times New Roman" w:hAnsi="Times New Roman"/>
          <w:sz w:val="20"/>
          <w:u w:val="single"/>
        </w:rPr>
        <w:t>Section 6(b)</w:t>
      </w:r>
      <w:r>
        <w:rPr>
          <w:rFonts w:ascii="Times New Roman" w:hAnsi="Times New Roman"/>
          <w:sz w:val="20"/>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Settlements</w:t>
      </w:r>
      <w:r>
        <w:rPr>
          <w:rFonts w:ascii="Times New Roman" w:hAnsi="Times New Roman"/>
          <w:sz w:val="20"/>
        </w:rPr>
        <w:t xml:space="preserve">. The indemnifying party under this </w:t>
      </w:r>
      <w:r>
        <w:rPr>
          <w:rFonts w:ascii="Times New Roman" w:hAnsi="Times New Roman"/>
          <w:sz w:val="20"/>
          <w:u w:val="single"/>
        </w:rPr>
        <w:t>Section 6</w:t>
      </w:r>
      <w:r>
        <w:rPr>
          <w:rFonts w:ascii="Times New Roman" w:hAnsi="Times New Roman"/>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6(c) hereof, the indemnifying party agrees that it shall be liable for any settlement of any proceeding effected without its written consent if (i) such settlement is entered into more than thirty (30) calendar days after receipt by such indemnifying party of the aforesaid request; and (ii) such indemnifying party shall not have reimbursed the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If the indemnification provided for in this </w:t>
      </w:r>
      <w:r>
        <w:rPr>
          <w:rFonts w:ascii="Times New Roman" w:hAnsi="Times New Roman"/>
          <w:sz w:val="20"/>
          <w:u w:val="single"/>
        </w:rPr>
        <w:t>Section 6</w:t>
      </w:r>
      <w:r>
        <w:rPr>
          <w:rFonts w:ascii="Times New Roman" w:hAnsi="Times New Roman"/>
          <w:sz w:val="20"/>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w:t>
      </w:r>
      <w:r>
        <w:rPr>
          <w:rFonts w:ascii="Times New Roman" w:hAnsi="Times New Roman"/>
          <w:sz w:val="20"/>
          <w:u w:val="single"/>
        </w:rPr>
        <w:t>Section 6(c)</w:t>
      </w:r>
      <w:r>
        <w:rPr>
          <w:rFonts w:ascii="Times New Roman" w:hAnsi="Times New Roman"/>
          <w:sz w:val="20"/>
        </w:rPr>
        <w:t xml:space="preserve">, any reasonable and documented legal or other fees or expenses reasonably incurred by such party in connection with investigating or defending any action or claim. The provisions set forth in </w:t>
      </w:r>
      <w:r>
        <w:rPr>
          <w:rFonts w:ascii="Times New Roman" w:hAnsi="Times New Roman"/>
          <w:sz w:val="20"/>
          <w:u w:val="single"/>
        </w:rPr>
        <w:t>Section 6(c)</w:t>
      </w:r>
      <w:r>
        <w:rPr>
          <w:rFonts w:ascii="Times New Roman" w:hAnsi="Times New Roman"/>
          <w:sz w:val="20"/>
        </w:rPr>
        <w:t xml:space="preserve"> with respect to notice of commencement of any action shall apply if a claim for contribution is to be made under this </w:t>
      </w:r>
      <w:r>
        <w:rPr>
          <w:rFonts w:ascii="Times New Roman" w:hAnsi="Times New Roman"/>
          <w:sz w:val="20"/>
          <w:u w:val="single"/>
        </w:rPr>
        <w:t>Section 6(e)</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no additional notice shall be required with respect to any action for which notice has been given under </w:t>
      </w:r>
      <w:r>
        <w:rPr>
          <w:rFonts w:ascii="Times New Roman" w:hAnsi="Times New Roman"/>
          <w:sz w:val="20"/>
          <w:u w:val="single"/>
        </w:rPr>
        <w:t>Section 6(c)</w:t>
      </w:r>
      <w:r>
        <w:rPr>
          <w:rFonts w:ascii="Times New Roman" w:hAnsi="Times New Roman"/>
          <w:sz w:val="20"/>
        </w:rPr>
        <w:t xml:space="preserve">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Agent agree that it would not be just and equitable if contribution pursuant to this </w:t>
      </w:r>
      <w:r>
        <w:rPr>
          <w:rFonts w:ascii="Times New Roman" w:hAnsi="Times New Roman"/>
          <w:sz w:val="20"/>
          <w:u w:val="single"/>
        </w:rPr>
        <w:t>Section 6(e)</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6(e)</w:t>
      </w:r>
      <w:r>
        <w:rPr>
          <w:rFonts w:ascii="Times New Roman" w:hAnsi="Times New Roman"/>
          <w:sz w:val="20"/>
        </w:rPr>
        <w:t xml:space="preserve">, the Agent shall not be required to contribute any amount in excess of the Selling Commissions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hAnsi="Times New Roman"/>
          <w:sz w:val="20"/>
          <w:u w:val="single"/>
        </w:rPr>
        <w:t>Section 6(e)</w:t>
      </w:r>
      <w:r>
        <w:rPr>
          <w:rFonts w:ascii="Times New Roman" w:hAnsi="Times New Roman"/>
          <w:sz w:val="20"/>
        </w:rPr>
        <w:t xml:space="preserv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 TERMINATION &amp; SURVIVAL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w:t>
      </w:r>
      <w:r>
        <w:rPr>
          <w:rFonts w:ascii="Times New Roman" w:hAnsi="Times New Roman"/>
          <w:sz w:val="20"/>
        </w:rPr>
        <w:t xml:space="preserve">. Subject to the provisions of this </w:t>
      </w:r>
      <w:r>
        <w:rPr>
          <w:rFonts w:ascii="Times New Roman" w:hAnsi="Times New Roman"/>
          <w:sz w:val="20"/>
          <w:u w:val="single"/>
        </w:rPr>
        <w:t>Section 7</w:t>
      </w:r>
      <w:r>
        <w:rPr>
          <w:rFonts w:ascii="Times New Roman" w:hAnsi="Times New Roman"/>
          <w:sz w:val="20"/>
        </w:rPr>
        <w:t xml:space="preserve">, the term of this Agreement shall continue from the date of this Agreement until the end of the Agency Period, unless earlier terminated by the parties to this Agreement pursuant to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Survival Following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hAnsi="Times New Roman"/>
          <w:sz w:val="20"/>
          <w:u w:val="single"/>
        </w:rPr>
        <w:t>Section 3(b)(v)</w:t>
      </w:r>
      <w:r>
        <w:rPr>
          <w:rFonts w:ascii="Times New Roman" w:hAnsi="Times New Roman"/>
          <w:sz w:val="20"/>
        </w:rPr>
        <w:t xml:space="preserve"> with respect to such Shares and (B)</w:t>
      </w:r>
      <w:r>
        <w:rPr>
          <w:rFonts w:ascii="Times New Roman" w:hAnsi="Times New Roman"/>
          <w:sz w:val="20"/>
          <w:u w:val="single"/>
        </w:rPr>
        <w:t> Section 2</w:t>
      </w:r>
      <w:r>
        <w:rPr>
          <w:rFonts w:ascii="Times New Roman" w:hAnsi="Times New Roman"/>
          <w:sz w:val="20"/>
        </w:rPr>
        <w:t xml:space="preserve">, </w:t>
      </w: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 xml:space="preserve">Section 7 </w:t>
      </w:r>
      <w:r>
        <w:rPr>
          <w:rFonts w:ascii="Times New Roman" w:hAnsi="Times New Roman"/>
          <w:sz w:val="20"/>
        </w:rPr>
        <w:t xml:space="preserve">and </w:t>
      </w:r>
      <w:r>
        <w:rPr>
          <w:rFonts w:ascii="Times New Roman" w:hAnsi="Times New Roman"/>
          <w:sz w:val="20"/>
          <w:u w:val="single"/>
        </w:rPr>
        <w:t>Section 8</w:t>
      </w:r>
      <w:r>
        <w:rPr>
          <w:rFonts w:ascii="Times New Roman" w:hAnsi="Times New Roman"/>
          <w:sz w:val="20"/>
        </w:rPr>
        <w:t xml:space="preserve"> shall survive termination of this Agreement. If termination shall occur prior to the Settlement Date for any sale of Shares, such sale shall nevertheless settle in accordance with the terms of this Agreement. Upon termination of this Agreement, the Company shall not have any liability to the Agent for any discount, commission or other compensation with respect to any Shares not otherwise sold by the Agent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In addition to the survival provision of </w:t>
      </w:r>
      <w:r>
        <w:rPr>
          <w:rFonts w:ascii="Times New Roman" w:hAnsi="Times New Roman"/>
          <w:sz w:val="20"/>
          <w:u w:val="single"/>
        </w:rPr>
        <w:t>Section 7(b)(i)</w:t>
      </w:r>
      <w:r>
        <w:rPr>
          <w:rFonts w:ascii="Times New Roman" w:hAnsi="Times New Roman"/>
          <w:sz w:val="20"/>
        </w:rPr>
        <w:t xml:space="preserve">,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Press Releases and Disclosure</w:t>
      </w:r>
      <w:r>
        <w:rPr>
          <w:rFonts w:ascii="Times New Roman" w:hAnsi="Times New Roman"/>
          <w:sz w:val="20"/>
        </w:rPr>
        <w:t xml:space="preserve">. The Company may issue a press release describing the material terms of the transactions contemplated hereby as soon as practicable following the date of this Agreement, and may file with the Commission a Current Report on Form 8-K or other report obligated to be filed under the Exchange Act,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In the case of any such press release or like public statement other than a press release or like public statement by the Company that includes disclosure related to sales made pursuant to this Agreement and the proceeds thereof for which no notice or consultation with the Agent shall be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Advisory or Fiduciary Relationship</w:t>
      </w:r>
      <w:r>
        <w:rPr>
          <w:rFonts w:ascii="Times New Roman" w:hAnsi="Times New Roman"/>
          <w:sz w:val="20"/>
        </w:rPr>
        <w:t xml:space="preserve">.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Research Analyst Independence</w:t>
      </w:r>
      <w:r>
        <w:rPr>
          <w:rFonts w:ascii="Times New Roman" w:hAnsi="Times New Roman"/>
          <w:sz w:val="20"/>
        </w:rPr>
        <w:t xml:space="preserve">.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contemplated by this Agreement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sz w:val="20"/>
        </w:rPr>
        <w:t xml:space="preserve">. All communications hereunder shall be in writing and shall be mailed, hand delivered, sent via electronic mail (if applicable) or telecopied and confirmed to the parties hereto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Agent: </w:t>
      </w:r>
    </w:p>
    <w:p>
      <w:pPr>
        <w:pStyle w:val="TextBody"/>
        <w:bidi w:val="0"/>
        <w:spacing w:before="12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Fascimile: (646) 786 - 5719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 additional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Paul Hastings LLP </w:t>
      </w:r>
    </w:p>
    <w:p>
      <w:pPr>
        <w:pStyle w:val="TextBody"/>
        <w:bidi w:val="0"/>
        <w:spacing w:before="0" w:after="0"/>
        <w:jc w:val="left"/>
        <w:rPr>
          <w:rFonts w:ascii="Times New Roman" w:hAnsi="Times New Roman"/>
          <w:sz w:val="20"/>
        </w:rPr>
      </w:pPr>
      <w:r>
        <w:rPr>
          <w:rFonts w:ascii="Times New Roman" w:hAnsi="Times New Roman"/>
          <w:sz w:val="20"/>
        </w:rPr>
        <w:t xml:space="preserve">The MetLife Building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10166 </w:t>
      </w:r>
    </w:p>
    <w:p>
      <w:pPr>
        <w:pStyle w:val="TextBody"/>
        <w:bidi w:val="0"/>
        <w:spacing w:before="0" w:after="0"/>
        <w:jc w:val="left"/>
        <w:rPr>
          <w:rFonts w:ascii="Times New Roman" w:hAnsi="Times New Roman"/>
          <w:sz w:val="20"/>
        </w:rPr>
      </w:pPr>
      <w:r>
        <w:rPr>
          <w:rFonts w:ascii="Times New Roman" w:hAnsi="Times New Roman"/>
          <w:sz w:val="20"/>
        </w:rPr>
        <w:t xml:space="preserve">Attention: Siavosh Salimi and Ryan Brewer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Climb Bio, Inc. </w:t>
      </w:r>
    </w:p>
    <w:p>
      <w:pPr>
        <w:pStyle w:val="TextBody"/>
        <w:bidi w:val="0"/>
        <w:spacing w:before="0" w:after="0"/>
        <w:jc w:val="left"/>
        <w:rPr>
          <w:rFonts w:ascii="Times New Roman" w:hAnsi="Times New Roman"/>
          <w:sz w:val="20"/>
        </w:rPr>
      </w:pPr>
      <w:r>
        <w:rPr>
          <w:rFonts w:ascii="Times New Roman" w:hAnsi="Times New Roman"/>
          <w:sz w:val="20"/>
        </w:rPr>
        <w:t xml:space="preserve">20 William Street, Suite 145 </w:t>
      </w:r>
    </w:p>
    <w:p>
      <w:pPr>
        <w:pStyle w:val="TextBody"/>
        <w:bidi w:val="0"/>
        <w:spacing w:before="0" w:after="0"/>
        <w:jc w:val="left"/>
        <w:rPr>
          <w:rFonts w:ascii="Times New Roman" w:hAnsi="Times New Roman"/>
          <w:sz w:val="20"/>
        </w:rPr>
      </w:pPr>
      <w:r>
        <w:rPr>
          <w:rFonts w:ascii="Times New Roman" w:hAnsi="Times New Roman"/>
          <w:sz w:val="20"/>
        </w:rPr>
        <w:t xml:space="preserve">Wellesley Hills, Massachusetts 02481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Wilmer Cutler Pickering Hale and Dorr LLP </w:t>
      </w:r>
    </w:p>
    <w:p>
      <w:pPr>
        <w:pStyle w:val="TextBody"/>
        <w:bidi w:val="0"/>
        <w:spacing w:before="0" w:after="0"/>
        <w:jc w:val="left"/>
        <w:rPr>
          <w:rFonts w:ascii="Times New Roman" w:hAnsi="Times New Roman"/>
          <w:sz w:val="20"/>
        </w:rPr>
      </w:pPr>
      <w:r>
        <w:rPr>
          <w:rFonts w:ascii="Times New Roman" w:hAnsi="Times New Roman"/>
          <w:sz w:val="20"/>
        </w:rPr>
        <w:t xml:space="preserve">7 World Trade Center </w:t>
      </w:r>
    </w:p>
    <w:p>
      <w:pPr>
        <w:pStyle w:val="TextBody"/>
        <w:bidi w:val="0"/>
        <w:spacing w:before="0" w:after="0"/>
        <w:jc w:val="left"/>
        <w:rPr>
          <w:rFonts w:ascii="Times New Roman" w:hAnsi="Times New Roman"/>
          <w:sz w:val="20"/>
        </w:rPr>
      </w:pPr>
      <w:r>
        <w:rPr>
          <w:rFonts w:ascii="Times New Roman" w:hAnsi="Times New Roman"/>
          <w:sz w:val="20"/>
        </w:rPr>
        <w:t xml:space="preserve">250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10007 </w:t>
      </w:r>
    </w:p>
    <w:p>
      <w:pPr>
        <w:pStyle w:val="TextBody"/>
        <w:bidi w:val="0"/>
        <w:spacing w:before="0" w:after="0"/>
        <w:jc w:val="left"/>
        <w:rPr>
          <w:rFonts w:ascii="Times New Roman" w:hAnsi="Times New Roman"/>
          <w:sz w:val="20"/>
        </w:rPr>
      </w:pPr>
      <w:r>
        <w:rPr>
          <w:rFonts w:ascii="Times New Roman" w:hAnsi="Times New Roman"/>
          <w:sz w:val="20"/>
        </w:rPr>
        <w:t xml:space="preserve">Attention: Chris Barnstable-Brown and Scott Lunin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in accordance with this </w:t>
      </w:r>
      <w:r>
        <w:rPr>
          <w:rFonts w:ascii="Times New Roman" w:hAnsi="Times New Roman"/>
          <w:sz w:val="20"/>
          <w:u w:val="single"/>
        </w:rPr>
        <w:t>Section 8(d)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Successors</w:t>
      </w:r>
      <w:r>
        <w:rPr>
          <w:rFonts w:ascii="Times New Roman" w:hAnsi="Times New Roman"/>
          <w:sz w:val="20"/>
        </w:rPr>
        <w:t xml:space="preserve">. This Agreement will inure to the benefit of and be binding upon the parties hereto, and to the benefit of the employees, officers and directors and controlling persons referred to in </w:t>
      </w:r>
      <w:r>
        <w:rPr>
          <w:rFonts w:ascii="Times New Roman" w:hAnsi="Times New Roman"/>
          <w:sz w:val="20"/>
          <w:u w:val="single"/>
        </w:rPr>
        <w:t>Section 6</w:t>
      </w:r>
      <w:r>
        <w:rPr>
          <w:rFonts w:ascii="Times New Roman" w:hAnsi="Times New Roman"/>
          <w:sz w:val="20"/>
        </w:rPr>
        <w:t xml:space="preserve">, and in each case their respective successors, and no other person will have any right or obligation hereunder. The term “successors” shall not include any purchaser of the Shares as such from the Agent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Partial Unenforceability</w:t>
      </w:r>
      <w:r>
        <w:rPr>
          <w:rFonts w:ascii="Times New Roman" w:hAnsi="Times New Roman"/>
          <w:sz w:val="20"/>
        </w:rPr>
        <w:t xml:space="preserve">.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Recognition of U.S. Special Resolutions Regimes</w:t>
      </w:r>
      <w:r>
        <w:rPr>
          <w:rFonts w:ascii="Times New Roman" w:hAnsi="Times New Roman"/>
          <w:sz w:val="20"/>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Governing Law Provisions</w:t>
      </w:r>
      <w:r>
        <w:rPr>
          <w:rFonts w:ascii="Times New Roman" w:hAnsi="Times New Roman"/>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 Provisions</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Immediately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CLIMB BIO,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center"/>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vAlign w:val="center"/>
          </w:tcPr>
          <w:p>
            <w:pPr>
              <w:pStyle w:val="TableContents"/>
              <w:bidi w:val="0"/>
              <w:spacing w:before="0" w:after="283"/>
              <w:jc w:val="left"/>
              <w:rPr/>
            </w:pPr>
            <w:r>
              <w:rPr/>
              <w:t>/s/ Aoife Brennan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Aoife Brennan, M.B., Ch.B.</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w:t>
            </w:r>
          </w:p>
          <w:p>
            <w:pPr>
              <w:pStyle w:val="TableContents"/>
              <w:bidi w:val="0"/>
              <w:spacing w:before="0" w:after="20"/>
              <w:jc w:val="left"/>
              <w:rPr>
                <w:rFonts w:ascii="Times New Roman" w:hAnsi="Times New Roman"/>
                <w:sz w:val="20"/>
              </w:rPr>
            </w:pPr>
            <w:r>
              <w:rPr>
                <w:rFonts w:ascii="Times New Roman" w:hAnsi="Times New Roman"/>
                <w:sz w:val="20"/>
              </w:rPr>
              <w:t>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confirmed and accepted by the Agent in New York, New York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JEFFERIES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vAlign w:val="center"/>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vAlign w:val="center"/>
          </w:tcPr>
          <w:p>
            <w:pPr>
              <w:pStyle w:val="TableContents"/>
              <w:bidi w:val="0"/>
              <w:spacing w:before="0" w:after="283"/>
              <w:jc w:val="left"/>
              <w:rPr/>
            </w:pPr>
            <w:r>
              <w:rPr/>
              <w:t>/s/ Michael Magarro</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Michael Magarro</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Issuance Notice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36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360" w:after="0"/>
        <w:jc w:val="left"/>
        <w:rPr>
          <w:rFonts w:ascii="Times New Roman" w:hAnsi="Times New Roman"/>
          <w:sz w:val="20"/>
        </w:rPr>
      </w:pPr>
      <w:r>
        <w:rPr>
          <w:rFonts w:ascii="Times New Roman" w:hAnsi="Times New Roman"/>
          <w:sz w:val="20"/>
        </w:rPr>
        <w:t xml:space="preserve">Attn: [__________] </w:t>
      </w:r>
    </w:p>
    <w:p>
      <w:pPr>
        <w:pStyle w:val="TextBody"/>
        <w:bidi w:val="0"/>
        <w:spacing w:before="240" w:after="0"/>
        <w:jc w:val="left"/>
        <w:rPr>
          <w:rFonts w:ascii="Times New Roman" w:hAnsi="Times New Roman"/>
          <w:sz w:val="20"/>
        </w:rPr>
      </w:pPr>
      <w:r>
        <w:rPr>
          <w:rFonts w:ascii="Times New Roman" w:hAnsi="Times New Roman"/>
          <w:sz w:val="20"/>
        </w:rPr>
        <w:t>Reference is made to the Open Market Sale Agreement between Climb Bio, Inc. (the “</w:t>
      </w:r>
      <w:r>
        <w:rPr>
          <w:rFonts w:ascii="Times New Roman" w:hAnsi="Times New Roman"/>
          <w:b/>
          <w:sz w:val="20"/>
        </w:rPr>
        <w:t>Company</w:t>
      </w:r>
      <w:r>
        <w:rPr>
          <w:rFonts w:ascii="Times New Roman" w:hAnsi="Times New Roman"/>
          <w:sz w:val="20"/>
        </w:rPr>
        <w:t>”) and Jefferies LLC (the “</w:t>
      </w:r>
      <w:r>
        <w:rPr>
          <w:rFonts w:ascii="Times New Roman" w:hAnsi="Times New Roman"/>
          <w:b/>
          <w:sz w:val="20"/>
        </w:rPr>
        <w:t>Agent</w:t>
      </w:r>
      <w:r>
        <w:rPr>
          <w:rFonts w:ascii="Times New Roman" w:hAnsi="Times New Roman"/>
          <w:sz w:val="20"/>
        </w:rPr>
        <w:t xml:space="preserve">”) dated as of June 12, 2026. The Company confirms that all conditions to the delivery of this Issuance Notice are satisfied as of the date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4"/>
        <w:gridCol w:w="123"/>
        <w:gridCol w:w="7368"/>
      </w:tblGrid>
      <w:tr>
        <w:trPr/>
        <w:tc>
          <w:tcPr>
            <w:tcW w:w="271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3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Date that the Registration Statement expires: November 22, 2027</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 xml:space="preserve">Date of Delivery of Issuance Notice (determined pursuant to </w:t>
            </w:r>
            <w:r>
              <w:rPr>
                <w:u w:val="single"/>
              </w:rPr>
              <w:t>Section 3(b)(i)</w:t>
            </w:r>
            <w:r>
              <w:rPr/>
              <w:t>):</w:t>
            </w:r>
          </w:p>
        </w:tc>
      </w:tr>
      <w:tr>
        <w:trPr>
          <w:trHeight w:val="240" w:hRule="atLeast"/>
        </w:trPr>
        <w:tc>
          <w:tcPr>
            <w:tcW w:w="2714"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68" w:type="dxa"/>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Issuance Amount (equal to the total Sales Price for such Shares):</w:t>
            </w:r>
          </w:p>
        </w:tc>
      </w:tr>
      <w:tr>
        <w:trPr>
          <w:trHeight w:val="240" w:hRule="atLeast"/>
        </w:trPr>
        <w:tc>
          <w:tcPr>
            <w:tcW w:w="2714"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6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rHeight w:val="240" w:hRule="atLeast"/>
        </w:trPr>
        <w:tc>
          <w:tcPr>
            <w:tcW w:w="2714"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Number of days in selling period:</w:t>
            </w:r>
          </w:p>
        </w:tc>
        <w:tc>
          <w:tcPr>
            <w:tcW w:w="123" w:type="dxa"/>
            <w:tcBorders/>
            <w:vAlign w:val="bottom"/>
          </w:tcPr>
          <w:p>
            <w:pPr>
              <w:pStyle w:val="TableContents"/>
              <w:bidi w:val="0"/>
              <w:spacing w:before="0" w:after="283"/>
              <w:jc w:val="left"/>
              <w:rPr/>
            </w:pPr>
            <w:r>
              <w:rPr/>
              <w:t>  </w:t>
            </w:r>
          </w:p>
        </w:tc>
        <w:tc>
          <w:tcPr>
            <w:tcW w:w="7368" w:type="dxa"/>
            <w:tcBorders/>
          </w:tcPr>
          <w:p>
            <w:pPr>
              <w:pStyle w:val="TableContents"/>
              <w:pBdr>
                <w:bottom w:val="single" w:sz="2" w:space="1" w:color="000000"/>
              </w:pBdr>
              <w:bidi w:val="0"/>
              <w:spacing w:before="0" w:after="20"/>
              <w:jc w:val="left"/>
              <w:rPr/>
            </w:pPr>
            <w:r>
              <w:rPr/>
              <w:t> </w:t>
            </w:r>
          </w:p>
        </w:tc>
      </w:tr>
      <w:tr>
        <w:trPr>
          <w:trHeight w:val="240" w:hRule="atLeast"/>
        </w:trPr>
        <w:tc>
          <w:tcPr>
            <w:tcW w:w="2714"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First date of selling period:</w:t>
            </w:r>
          </w:p>
        </w:tc>
        <w:tc>
          <w:tcPr>
            <w:tcW w:w="123" w:type="dxa"/>
            <w:tcBorders/>
            <w:vAlign w:val="bottom"/>
          </w:tcPr>
          <w:p>
            <w:pPr>
              <w:pStyle w:val="TableContents"/>
              <w:bidi w:val="0"/>
              <w:spacing w:before="0" w:after="283"/>
              <w:jc w:val="left"/>
              <w:rPr/>
            </w:pPr>
            <w:r>
              <w:rPr/>
              <w:t>  </w:t>
            </w:r>
          </w:p>
        </w:tc>
        <w:tc>
          <w:tcPr>
            <w:tcW w:w="7368" w:type="dxa"/>
            <w:tcBorders/>
          </w:tcPr>
          <w:p>
            <w:pPr>
              <w:pStyle w:val="TableContents"/>
              <w:pBdr>
                <w:bottom w:val="single" w:sz="2" w:space="1" w:color="000000"/>
              </w:pBdr>
              <w:bidi w:val="0"/>
              <w:spacing w:before="0" w:after="20"/>
              <w:jc w:val="left"/>
              <w:rPr/>
            </w:pPr>
            <w:r>
              <w:rPr/>
              <w:t> </w:t>
            </w:r>
          </w:p>
        </w:tc>
      </w:tr>
      <w:tr>
        <w:trPr>
          <w:trHeight w:val="240" w:hRule="atLeast"/>
        </w:trPr>
        <w:tc>
          <w:tcPr>
            <w:tcW w:w="2714"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pPr>
            <w:r>
              <w:rPr/>
              <w:t>Last date of selling period:</w:t>
            </w:r>
          </w:p>
        </w:tc>
        <w:tc>
          <w:tcPr>
            <w:tcW w:w="123" w:type="dxa"/>
            <w:tcBorders/>
            <w:vAlign w:val="bottom"/>
          </w:tcPr>
          <w:p>
            <w:pPr>
              <w:pStyle w:val="TableContents"/>
              <w:bidi w:val="0"/>
              <w:spacing w:before="0" w:after="283"/>
              <w:jc w:val="left"/>
              <w:rPr/>
            </w:pPr>
            <w:r>
              <w:rPr/>
              <w:t>  </w:t>
            </w:r>
          </w:p>
        </w:tc>
        <w:tc>
          <w:tcPr>
            <w:tcW w:w="7368" w:type="dxa"/>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Settlement Date(s) if other than standard T+1 settlement:</w:t>
            </w:r>
          </w:p>
        </w:tc>
      </w:tr>
      <w:tr>
        <w:trPr>
          <w:trHeight w:val="240" w:hRule="atLeast"/>
        </w:trPr>
        <w:tc>
          <w:tcPr>
            <w:tcW w:w="2714"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71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68" w:type="dxa"/>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Floor Price Limitation: $ ____ per share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Comments: </w:t>
            </w:r>
            <w:r>
              <w:rPr>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CLIMB BIO, INC.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Parties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The Company </w:t>
      </w:r>
    </w:p>
    <w:p>
      <w:pPr>
        <w:pStyle w:val="TextBody"/>
        <w:bidi w:val="0"/>
        <w:spacing w:before="120" w:after="0"/>
        <w:jc w:val="left"/>
        <w:rPr>
          <w:rFonts w:ascii="Times New Roman" w:hAnsi="Times New Roman"/>
          <w:sz w:val="20"/>
        </w:rPr>
      </w:pPr>
      <w:r>
        <w:rPr>
          <w:rFonts w:ascii="Times New Roman" w:hAnsi="Times New Roman"/>
          <w:sz w:val="20"/>
        </w:rPr>
        <w:t xml:space="preserve">Aoife Brennan, 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Susan Altschuller, Chief Financial Officer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The Agent </w:t>
      </w:r>
    </w:p>
    <w:p>
      <w:pPr>
        <w:pStyle w:val="TextBody"/>
        <w:bidi w:val="0"/>
        <w:spacing w:before="120" w:after="0"/>
        <w:jc w:val="left"/>
        <w:rPr>
          <w:rFonts w:ascii="Times New Roman" w:hAnsi="Times New Roman"/>
          <w:sz w:val="20"/>
        </w:rPr>
      </w:pPr>
      <w:r>
        <w:rPr>
          <w:rFonts w:ascii="Times New Roman" w:hAnsi="Times New Roman"/>
          <w:sz w:val="20"/>
        </w:rPr>
        <w:t xml:space="preserve">Michael Magarro </w:t>
      </w:r>
    </w:p>
    <w:p>
      <w:pPr>
        <w:pStyle w:val="TextBody"/>
        <w:bidi w:val="0"/>
        <w:spacing w:before="240" w:after="0"/>
        <w:jc w:val="left"/>
        <w:rPr>
          <w:rFonts w:ascii="Times New Roman" w:hAnsi="Times New Roman"/>
          <w:sz w:val="20"/>
        </w:rPr>
      </w:pPr>
      <w:r>
        <w:rPr>
          <w:rFonts w:ascii="Times New Roman" w:hAnsi="Times New Roman"/>
          <w:sz w:val="20"/>
        </w:rPr>
        <w:t xml:space="preserve">Donald Lynaugh </w:t>
      </w:r>
    </w:p>
    <w:p>
      <w:pPr>
        <w:pStyle w:val="TextBody"/>
        <w:bidi w:val="0"/>
        <w:spacing w:before="0" w:after="0"/>
        <w:jc w:val="right"/>
        <w:rPr>
          <w:rFonts w:ascii="Times New Roman" w:hAnsi="Times New Roman"/>
          <w:b/>
          <w:sz w:val="20"/>
        </w:rPr>
      </w:pPr>
      <w:bookmarkStart w:id="4" w:name="d92589dex51.htm"/>
      <w:bookmarkStart w:id="5" w:name="ksd92589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002665" cy="2368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2665" cy="236855"/>
                    </a:xfrm>
                    <a:prstGeom prst="rect">
                      <a:avLst/>
                    </a:prstGeom>
                  </pic:spPr>
                </pic:pic>
              </a:graphicData>
            </a:graphic>
          </wp:inline>
        </w:drawing>
      </w:r>
      <w:r>
        <w:rPr/>
        <w:t xml:space="preserve"> </w:t>
      </w:r>
    </w:p>
    <w:p>
      <w:pPr>
        <w:pStyle w:val="TextBody"/>
        <w:bidi w:val="0"/>
        <w:spacing w:before="120" w:after="0"/>
        <w:jc w:val="right"/>
        <w:rPr>
          <w:rFonts w:ascii="Times New Roman" w:hAnsi="Times New Roman"/>
          <w:sz w:val="16"/>
        </w:rPr>
      </w:pPr>
      <w:r>
        <w:rPr>
          <w:rFonts w:ascii="Times New Roman" w:hAnsi="Times New Roman"/>
          <w:sz w:val="16"/>
        </w:rPr>
        <w:t xml:space="preserve">+1 212 230 8800 (t) </w:t>
      </w:r>
    </w:p>
    <w:p>
      <w:pPr>
        <w:pStyle w:val="TextBody"/>
        <w:bidi w:val="0"/>
        <w:spacing w:before="0" w:after="0"/>
        <w:jc w:val="right"/>
        <w:rPr>
          <w:rFonts w:ascii="Times New Roman" w:hAnsi="Times New Roman"/>
          <w:sz w:val="16"/>
        </w:rPr>
      </w:pPr>
      <w:r>
        <w:rPr>
          <w:rFonts w:ascii="Times New Roman" w:hAnsi="Times New Roman"/>
          <w:sz w:val="16"/>
        </w:rPr>
        <w:t xml:space="preserve">+1 212 230 8888 (f) </w:t>
      </w:r>
    </w:p>
    <w:p>
      <w:pPr>
        <w:pStyle w:val="TextBody"/>
        <w:bidi w:val="0"/>
        <w:spacing w:before="0" w:after="0"/>
        <w:jc w:val="right"/>
        <w:rPr>
          <w:rFonts w:ascii="Times New Roman" w:hAnsi="Times New Roman"/>
          <w:sz w:val="20"/>
        </w:rPr>
      </w:pPr>
      <w:r>
        <w:rPr>
          <w:rFonts w:ascii="Times New Roman" w:hAnsi="Times New Roman"/>
          <w:sz w:val="20"/>
        </w:rPr>
        <w:t xml:space="preserve">wilmerhale.com </w:t>
      </w:r>
    </w:p>
    <w:p>
      <w:pPr>
        <w:pStyle w:val="TextBody"/>
        <w:bidi w:val="0"/>
        <w:spacing w:before="240" w:after="0"/>
        <w:jc w:val="left"/>
        <w:rPr>
          <w:rFonts w:ascii="Times New Roman" w:hAnsi="Times New Roman"/>
          <w:sz w:val="20"/>
        </w:rPr>
      </w:pPr>
      <w:r>
        <w:rPr>
          <w:rFonts w:ascii="Times New Roman" w:hAnsi="Times New Roman"/>
          <w:sz w:val="20"/>
        </w:rPr>
        <w:t xml:space="preserve">June 12, 2026 </w:t>
      </w:r>
    </w:p>
    <w:p>
      <w:pPr>
        <w:pStyle w:val="TextBody"/>
        <w:bidi w:val="0"/>
        <w:spacing w:before="240" w:after="0"/>
        <w:jc w:val="left"/>
        <w:rPr>
          <w:rFonts w:ascii="Times New Roman" w:hAnsi="Times New Roman"/>
          <w:sz w:val="20"/>
        </w:rPr>
      </w:pPr>
      <w:r>
        <w:rPr>
          <w:rFonts w:ascii="Times New Roman" w:hAnsi="Times New Roman"/>
          <w:sz w:val="20"/>
        </w:rPr>
        <w:t xml:space="preserve">Climb Bio, Inc. </w:t>
      </w:r>
    </w:p>
    <w:p>
      <w:pPr>
        <w:pStyle w:val="TextBody"/>
        <w:bidi w:val="0"/>
        <w:spacing w:before="0" w:after="0"/>
        <w:jc w:val="left"/>
        <w:rPr>
          <w:rFonts w:ascii="Times New Roman" w:hAnsi="Times New Roman"/>
          <w:sz w:val="20"/>
        </w:rPr>
      </w:pPr>
      <w:r>
        <w:rPr>
          <w:rFonts w:ascii="Times New Roman" w:hAnsi="Times New Roman"/>
          <w:sz w:val="20"/>
        </w:rPr>
        <w:t xml:space="preserve">20 William Street, Suite 145 </w:t>
      </w:r>
    </w:p>
    <w:p>
      <w:pPr>
        <w:pStyle w:val="TextBody"/>
        <w:bidi w:val="0"/>
        <w:spacing w:before="0" w:after="0"/>
        <w:jc w:val="left"/>
        <w:rPr>
          <w:rFonts w:ascii="Times New Roman" w:hAnsi="Times New Roman"/>
          <w:sz w:val="20"/>
        </w:rPr>
      </w:pPr>
      <w:r>
        <w:rPr>
          <w:rFonts w:ascii="Times New Roman" w:hAnsi="Times New Roman"/>
          <w:sz w:val="20"/>
        </w:rPr>
        <w:t xml:space="preserve">Wellesley Hills, Massachusetts 02481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Prospectus Supplement to Registration Statement on Form S-3</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This opinion is being furnished to you in connection with (i) the Registration Statement on Form S-3 (File No. 333-283166) (the “Registration Statement”) filed by Climb Bio, Inc., a Delaware corporation (the “Company”), with the Securities and Exchange Commission (the “Commission”) under the Securities Act of 1933, as amended (the “Securities Act”), for the registration of, among other things, an indeterminate number of shares of the Company’s common stock, $0.0001 par value per share (the “Common Stock”), which may be issued from time to time on a delayed or continuous basis pursuant to Rule 415 under the Securities Act at an initial aggregate offering price not to exceed $200,000,000, as set forth in the Registration Statement and the base prospectus contained therein (the “Base Prospectus”) and (ii) the prospectus supplement, dated June 12, 2026 (the “Prospectus Supplement” and, together with the Base Prospectus, the “Prospectus”) relating to the issuance and sale from time to time by the Company of shares of Common Stock with an aggregate offering price of up to $100,000,000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to be issued and sold by the Company pursuant to an Open Market Sale AgreementSM, dated June 12, 2026, between the Company and Jefferies LLC (the “Sales Agreement”). The Sales Agreement is being filed with the Commission as Exhibit 1.1 to the Company’s Current Report on Form 8-K, filed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counsel for the Company in connection with the issue and sale by the Company of the Shares pursuant to the Sales Agreement. We have examined and relied upon copies of the Registration Statement and the Prospectus, as filed with the Commission, including the exhibits thereto. We have also examined and relied upon the Sales Agreement, minutes of meetings of the stockholders and the Board of Directors of the Company (including committees thereof) as provided to us by the Company, stock record books of the Company as provided to us by the Company, the Certificate of Incorporation of the Company and Bylaws of the Company, each as restated and/or amended to date, and such other documents as we have deemed necessary for purposes of rendering the opinions hereinafter set forth. </w:t>
      </w:r>
    </w:p>
    <w:p>
      <w:pPr>
        <w:pStyle w:val="TextBody"/>
        <w:bidi w:val="0"/>
        <w:spacing w:before="0" w:after="0"/>
        <w:jc w:val="left"/>
        <w:rPr/>
      </w:pPr>
      <w:r>
        <w:rPr/>
        <w:t> </w:t>
      </w:r>
    </w:p>
    <w:p>
      <w:pPr>
        <w:pStyle w:val="TextBody"/>
        <w:bidi w:val="0"/>
        <w:spacing w:before="0" w:after="0"/>
        <w:jc w:val="center"/>
        <w:rPr/>
      </w:pPr>
      <w:r>
        <w:rPr/>
        <w:drawing>
          <wp:inline distT="0" distB="0" distL="0" distR="0">
            <wp:extent cx="4903470" cy="2133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03470" cy="21336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03"/>
        <w:gridCol w:w="123"/>
        <w:gridCol w:w="3099"/>
        <w:gridCol w:w="123"/>
        <w:gridCol w:w="3357"/>
      </w:tblGrid>
      <w:tr>
        <w:trPr/>
        <w:tc>
          <w:tcPr>
            <w:tcW w:w="35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3503" w:type="dxa"/>
            <w:tcBorders/>
          </w:tcPr>
          <w:p>
            <w:pPr>
              <w:pStyle w:val="TableContents"/>
              <w:bidi w:val="0"/>
              <w:spacing w:before="0" w:after="0"/>
              <w:jc w:val="left"/>
              <w:rPr>
                <w:rFonts w:ascii="Times New Roman" w:hAnsi="Times New Roman"/>
                <w:sz w:val="20"/>
              </w:rPr>
            </w:pPr>
            <w:r>
              <w:rPr>
                <w:rFonts w:ascii="Times New Roman" w:hAnsi="Times New Roman"/>
                <w:sz w:val="20"/>
              </w:rPr>
              <w:t>Climb Bio, Inc.</w:t>
            </w:r>
          </w:p>
          <w:p>
            <w:pPr>
              <w:pStyle w:val="TableContents"/>
              <w:bidi w:val="0"/>
              <w:spacing w:before="0" w:after="0"/>
              <w:jc w:val="left"/>
              <w:rPr>
                <w:rFonts w:ascii="Times New Roman" w:hAnsi="Times New Roman"/>
                <w:sz w:val="20"/>
              </w:rPr>
            </w:pPr>
            <w:r>
              <w:rPr>
                <w:rFonts w:ascii="Times New Roman" w:hAnsi="Times New Roman"/>
                <w:sz w:val="20"/>
              </w:rPr>
              <w:t>June 12, 2026</w:t>
            </w:r>
          </w:p>
          <w:p>
            <w:pPr>
              <w:pStyle w:val="TableContents"/>
              <w:bidi w:val="0"/>
              <w:spacing w:before="0" w:after="20"/>
              <w:jc w:val="left"/>
              <w:rPr>
                <w:rFonts w:ascii="Times New Roman" w:hAnsi="Times New Roman"/>
                <w:sz w:val="20"/>
              </w:rPr>
            </w:pPr>
            <w:r>
              <w:rPr>
                <w:rFonts w:ascii="Times New Roman" w:hAnsi="Times New Roman"/>
                <w:sz w:val="20"/>
              </w:rPr>
              <w:t xml:space="preserve">Page 2 </w:t>
            </w:r>
          </w:p>
        </w:tc>
        <w:tc>
          <w:tcPr>
            <w:tcW w:w="12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right"/>
              <w:rPr/>
            </w:pPr>
            <w:r>
              <w:rPr/>
              <w:drawing>
                <wp:inline distT="0" distB="0" distL="0" distR="0">
                  <wp:extent cx="1002665" cy="2368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2665" cy="23685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as to certain matters on information obtained from public officials and officers of the Company, and we have assumed that (i) the Shares will be issued and sold in compliance with applicable federal and state securities laws and in the manner stated in the Registration Statement, the Prospectus and any applicable prospectus supplement; (ii) there will be sufficient shares of Common Stock authorized under the Certificate of Incorporation and not otherwise reserved for issuance; and (iii) at the time of the issuance and sale of the Shares, the Company will be validly existing as a corporation and in good standing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that there will not have occurred, prior to the date of issuance of the Shares, any change in law affecting the validity of such Shares and that at the time of the issuance and sale of the Shares, the Board of Directors of the Company (or any committee thereof acting pursuant to authority properly delegated to such committee by the Board of Directors) shall not have taken any action to rescind or otherwise reduce its prior authorization of the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the Shares have been duly authorized for issuance and, when the Shares are issued and paid for in accordance with the terms and conditions of the Sales Agreement,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opinion is to be used only in connection with the offer and sale of the Shares while the Registration Statement is in effect.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03"/>
        <w:gridCol w:w="123"/>
        <w:gridCol w:w="3099"/>
        <w:gridCol w:w="123"/>
        <w:gridCol w:w="3357"/>
      </w:tblGrid>
      <w:tr>
        <w:trPr/>
        <w:tc>
          <w:tcPr>
            <w:tcW w:w="35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3503" w:type="dxa"/>
            <w:tcBorders/>
          </w:tcPr>
          <w:p>
            <w:pPr>
              <w:pStyle w:val="TableContents"/>
              <w:bidi w:val="0"/>
              <w:spacing w:before="0" w:after="0"/>
              <w:jc w:val="left"/>
              <w:rPr>
                <w:rFonts w:ascii="Times New Roman" w:hAnsi="Times New Roman"/>
                <w:sz w:val="20"/>
              </w:rPr>
            </w:pPr>
            <w:r>
              <w:rPr>
                <w:rFonts w:ascii="Times New Roman" w:hAnsi="Times New Roman"/>
                <w:sz w:val="20"/>
              </w:rPr>
              <w:t>Climb Bio, Inc.</w:t>
            </w:r>
          </w:p>
          <w:p>
            <w:pPr>
              <w:pStyle w:val="TableContents"/>
              <w:bidi w:val="0"/>
              <w:spacing w:before="0" w:after="0"/>
              <w:jc w:val="left"/>
              <w:rPr>
                <w:rFonts w:ascii="Times New Roman" w:hAnsi="Times New Roman"/>
                <w:sz w:val="20"/>
              </w:rPr>
            </w:pPr>
            <w:r>
              <w:rPr>
                <w:rFonts w:ascii="Times New Roman" w:hAnsi="Times New Roman"/>
                <w:sz w:val="20"/>
              </w:rPr>
              <w:t>June 12, 2026</w:t>
            </w:r>
          </w:p>
          <w:p>
            <w:pPr>
              <w:pStyle w:val="TableContents"/>
              <w:bidi w:val="0"/>
              <w:spacing w:before="0" w:after="20"/>
              <w:jc w:val="left"/>
              <w:rPr>
                <w:rFonts w:ascii="Times New Roman" w:hAnsi="Times New Roman"/>
                <w:sz w:val="20"/>
              </w:rPr>
            </w:pPr>
            <w:r>
              <w:rPr>
                <w:rFonts w:ascii="Times New Roman" w:hAnsi="Times New Roman"/>
                <w:sz w:val="20"/>
              </w:rPr>
              <w:t xml:space="preserve">Page 3 </w:t>
            </w:r>
          </w:p>
        </w:tc>
        <w:tc>
          <w:tcPr>
            <w:tcW w:w="123" w:type="dxa"/>
            <w:tcBorders/>
            <w:vAlign w:val="bottom"/>
          </w:tcPr>
          <w:p>
            <w:pPr>
              <w:pStyle w:val="TableContents"/>
              <w:bidi w:val="0"/>
              <w:spacing w:before="0" w:after="283"/>
              <w:jc w:val="left"/>
              <w:rPr/>
            </w:pPr>
            <w:r>
              <w:rPr/>
              <w:t>  </w:t>
            </w:r>
          </w:p>
        </w:tc>
        <w:tc>
          <w:tcPr>
            <w:tcW w:w="30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right"/>
              <w:rPr/>
            </w:pPr>
            <w:r>
              <w:rPr/>
              <w:drawing>
                <wp:inline distT="0" distB="0" distL="0" distR="0">
                  <wp:extent cx="1002665" cy="2368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2665" cy="23685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with the Commission in accordance with the requirements of Item 601(b)(5) of Regulation S-K under the Securities Act as an exhibit to the Current Report on Form 8-K to be filed by the Company on the date hereof in connection with the issuance and sale of the Shares and to the use of our name therein and in the related Prospectus Supplement under the caption “Legal Matters.” In giving such consent, we do not hereby admit that we are in the category of persons whose consent is required under Section 7 of the Securities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Wilmer Cutler Pickering Hale and Dorr LLP </w:t>
      </w:r>
    </w:p>
    <w:p>
      <w:pPr>
        <w:pStyle w:val="TextBody"/>
        <w:bidi w:val="0"/>
        <w:spacing w:before="240" w:after="0"/>
        <w:jc w:val="left"/>
        <w:rPr>
          <w:rFonts w:ascii="Times New Roman" w:hAnsi="Times New Roman"/>
          <w:sz w:val="20"/>
        </w:rPr>
      </w:pPr>
      <w:r>
        <w:rPr>
          <w:rFonts w:ascii="Times New Roman" w:hAnsi="Times New Roman"/>
          <w:sz w:val="20"/>
        </w:rPr>
        <w:t xml:space="preserve">WILMER CUTLER PICKERING </w:t>
      </w:r>
    </w:p>
    <w:p>
      <w:pPr>
        <w:pStyle w:val="TextBody"/>
        <w:bidi w:val="0"/>
        <w:spacing w:before="0" w:after="0"/>
        <w:jc w:val="left"/>
        <w:rPr>
          <w:rFonts w:ascii="Times New Roman" w:hAnsi="Times New Roman"/>
          <w:sz w:val="20"/>
        </w:rPr>
      </w:pPr>
      <w:r>
        <w:rPr>
          <w:rFonts w:ascii="Times New Roman" w:hAnsi="Times New Roman"/>
          <w:sz w:val="20"/>
        </w:rPr>
        <w:t xml:space="preserve">HALE AND DORR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24730</Words>
  <Characters>129919</Characters>
  <CharactersWithSpaces>154947</CharactersWithSpaces>
  <Paragraphs>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